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D1FA" w14:textId="5E35F684" w:rsidR="00C7795C" w:rsidRDefault="00C7795C" w:rsidP="00C7795C">
      <w:pPr>
        <w:spacing w:after="0" w:line="240" w:lineRule="auto"/>
        <w:rPr>
          <w:rFonts w:ascii="Times New Roman" w:hAnsi="Times New Roman" w:cs="Times New Roman"/>
        </w:rPr>
      </w:pPr>
      <w:r>
        <w:rPr>
          <w:rFonts w:ascii="Times New Roman" w:hAnsi="Times New Roman" w:cs="Times New Roman"/>
        </w:rPr>
        <w:t>April 27, 2026</w:t>
      </w:r>
    </w:p>
    <w:p w14:paraId="1893A949" w14:textId="77777777" w:rsidR="00C7795C" w:rsidRDefault="00C7795C" w:rsidP="00C7795C">
      <w:pPr>
        <w:spacing w:after="0" w:line="240" w:lineRule="auto"/>
        <w:rPr>
          <w:rFonts w:ascii="Times New Roman" w:hAnsi="Times New Roman" w:cs="Times New Roman"/>
        </w:rPr>
      </w:pPr>
    </w:p>
    <w:p w14:paraId="67F7D1B2" w14:textId="676B406E" w:rsidR="00C7795C" w:rsidRDefault="00C7795C" w:rsidP="00C7795C">
      <w:pPr>
        <w:spacing w:after="0" w:line="240" w:lineRule="auto"/>
        <w:rPr>
          <w:rFonts w:ascii="Times New Roman" w:hAnsi="Times New Roman" w:cs="Times New Roman"/>
        </w:rPr>
      </w:pPr>
      <w:r>
        <w:rPr>
          <w:rFonts w:ascii="Times New Roman" w:hAnsi="Times New Roman" w:cs="Times New Roman"/>
        </w:rPr>
        <w:t>Office of Regulations and Interpretations</w:t>
      </w:r>
    </w:p>
    <w:p w14:paraId="505D1D58" w14:textId="7E0F71A4" w:rsidR="00C7795C" w:rsidRDefault="00C7795C" w:rsidP="00C7795C">
      <w:pPr>
        <w:spacing w:after="0" w:line="240" w:lineRule="auto"/>
        <w:rPr>
          <w:rFonts w:ascii="Times New Roman" w:hAnsi="Times New Roman" w:cs="Times New Roman"/>
        </w:rPr>
      </w:pPr>
      <w:r>
        <w:rPr>
          <w:rFonts w:ascii="Times New Roman" w:hAnsi="Times New Roman" w:cs="Times New Roman"/>
        </w:rPr>
        <w:t>Employee Benefits Security Administration</w:t>
      </w:r>
    </w:p>
    <w:p w14:paraId="3D63510E" w14:textId="30BE55DC" w:rsidR="00C7795C" w:rsidRDefault="00C7795C" w:rsidP="00C7795C">
      <w:pPr>
        <w:spacing w:after="0" w:line="240" w:lineRule="auto"/>
        <w:rPr>
          <w:rFonts w:ascii="Times New Roman" w:hAnsi="Times New Roman" w:cs="Times New Roman"/>
        </w:rPr>
      </w:pPr>
      <w:r>
        <w:rPr>
          <w:rFonts w:ascii="Times New Roman" w:hAnsi="Times New Roman" w:cs="Times New Roman"/>
        </w:rPr>
        <w:t>Room N-5655</w:t>
      </w:r>
    </w:p>
    <w:p w14:paraId="7A04572B" w14:textId="4463A781" w:rsidR="00C7795C" w:rsidRDefault="00C7795C" w:rsidP="00C7795C">
      <w:pPr>
        <w:spacing w:after="0" w:line="240" w:lineRule="auto"/>
        <w:rPr>
          <w:rFonts w:ascii="Times New Roman" w:hAnsi="Times New Roman" w:cs="Times New Roman"/>
        </w:rPr>
      </w:pPr>
      <w:r>
        <w:rPr>
          <w:rFonts w:ascii="Times New Roman" w:hAnsi="Times New Roman" w:cs="Times New Roman"/>
        </w:rPr>
        <w:t>U.S. Department of Labor</w:t>
      </w:r>
    </w:p>
    <w:p w14:paraId="18F3AE8D" w14:textId="5FDA7D70" w:rsidR="00C7795C" w:rsidRDefault="00C7795C" w:rsidP="00C7795C">
      <w:pPr>
        <w:spacing w:after="0" w:line="240" w:lineRule="auto"/>
        <w:rPr>
          <w:rFonts w:ascii="Times New Roman" w:hAnsi="Times New Roman" w:cs="Times New Roman"/>
        </w:rPr>
      </w:pPr>
      <w:r>
        <w:rPr>
          <w:rFonts w:ascii="Times New Roman" w:hAnsi="Times New Roman" w:cs="Times New Roman"/>
        </w:rPr>
        <w:t>200 Constitution Avenue, N.W.</w:t>
      </w:r>
    </w:p>
    <w:p w14:paraId="31BA09B4" w14:textId="1376ABEE" w:rsidR="00C7795C" w:rsidRPr="00C7795C" w:rsidRDefault="00C7795C" w:rsidP="00C7795C">
      <w:pPr>
        <w:spacing w:after="0" w:line="240" w:lineRule="auto"/>
        <w:rPr>
          <w:rFonts w:ascii="Times New Roman" w:hAnsi="Times New Roman" w:cs="Times New Roman"/>
        </w:rPr>
      </w:pPr>
      <w:r>
        <w:rPr>
          <w:rFonts w:ascii="Times New Roman" w:hAnsi="Times New Roman" w:cs="Times New Roman"/>
        </w:rPr>
        <w:t>Washington, D.C.  20210</w:t>
      </w:r>
    </w:p>
    <w:p w14:paraId="5BC40F67" w14:textId="77777777" w:rsidR="00C7795C" w:rsidRDefault="00C7795C" w:rsidP="00C7795C">
      <w:pPr>
        <w:rPr>
          <w:rFonts w:ascii="Garamond" w:hAnsi="Garamond"/>
          <w:b/>
          <w:bCs/>
        </w:rPr>
      </w:pPr>
    </w:p>
    <w:p w14:paraId="5E6F4E5E" w14:textId="73D20984" w:rsidR="00C7795C" w:rsidRDefault="00C7795C" w:rsidP="00C7795C">
      <w:pPr>
        <w:rPr>
          <w:rFonts w:ascii="Garamond" w:hAnsi="Garamond"/>
          <w:b/>
          <w:bCs/>
        </w:rPr>
      </w:pPr>
      <w:r w:rsidRPr="00D02F2D">
        <w:rPr>
          <w:rFonts w:ascii="Garamond" w:hAnsi="Garamond"/>
          <w:b/>
          <w:bCs/>
        </w:rPr>
        <w:t>Re: RIN 1210-AC27, Requirement to Provide Paper Statements in Certain Cases—Amendments to Electronic Disclosure Safe Harbors</w:t>
      </w:r>
    </w:p>
    <w:p w14:paraId="62C64DFF" w14:textId="08A4C539" w:rsidR="00C7795C" w:rsidRDefault="00C7795C" w:rsidP="00A5074C">
      <w:pPr>
        <w:spacing w:after="0" w:line="240" w:lineRule="auto"/>
        <w:rPr>
          <w:rFonts w:ascii="Times New Roman" w:hAnsi="Times New Roman" w:cs="Times New Roman"/>
        </w:rPr>
      </w:pPr>
      <w:r w:rsidRPr="00C7795C">
        <w:rPr>
          <w:rFonts w:ascii="Times New Roman" w:hAnsi="Times New Roman" w:cs="Times New Roman"/>
        </w:rPr>
        <w:t>Dear Assistant Secretary Aronowitz and Reviewing Staff of the Employee Benefits Security Administration</w:t>
      </w:r>
      <w:r>
        <w:rPr>
          <w:rFonts w:ascii="Times New Roman" w:hAnsi="Times New Roman" w:cs="Times New Roman"/>
        </w:rPr>
        <w:t>:</w:t>
      </w:r>
    </w:p>
    <w:p w14:paraId="00764AC8" w14:textId="77777777" w:rsidR="00A5074C" w:rsidRDefault="00A5074C" w:rsidP="00A5074C">
      <w:pPr>
        <w:spacing w:after="0" w:line="240" w:lineRule="auto"/>
        <w:rPr>
          <w:rFonts w:ascii="Times New Roman" w:hAnsi="Times New Roman" w:cs="Times New Roman"/>
        </w:rPr>
      </w:pPr>
    </w:p>
    <w:p w14:paraId="64692FE0" w14:textId="74C1DE51" w:rsidR="0045272D" w:rsidRDefault="004D6C08" w:rsidP="00C7795C">
      <w:pPr>
        <w:ind w:firstLine="720"/>
        <w:rPr>
          <w:rFonts w:ascii="Times New Roman" w:hAnsi="Times New Roman" w:cs="Times New Roman"/>
        </w:rPr>
      </w:pPr>
      <w:r>
        <w:rPr>
          <w:rFonts w:ascii="Times New Roman" w:hAnsi="Times New Roman" w:cs="Times New Roman"/>
        </w:rPr>
        <w:t xml:space="preserve">The Pension Rights Center </w:t>
      </w:r>
      <w:r w:rsidR="0045272D">
        <w:rPr>
          <w:rFonts w:ascii="Times New Roman" w:hAnsi="Times New Roman" w:cs="Times New Roman"/>
        </w:rPr>
        <w:t xml:space="preserve">(the “PRC”) </w:t>
      </w:r>
      <w:r>
        <w:rPr>
          <w:rFonts w:ascii="Times New Roman" w:hAnsi="Times New Roman" w:cs="Times New Roman"/>
        </w:rPr>
        <w:t xml:space="preserve">submits the following comment on DOL’s proposed regulatory </w:t>
      </w:r>
      <w:r w:rsidR="00F2000D">
        <w:rPr>
          <w:rFonts w:ascii="Times New Roman" w:hAnsi="Times New Roman" w:cs="Times New Roman"/>
        </w:rPr>
        <w:t>provisions</w:t>
      </w:r>
      <w:r>
        <w:rPr>
          <w:rFonts w:ascii="Times New Roman" w:hAnsi="Times New Roman" w:cs="Times New Roman"/>
        </w:rPr>
        <w:t xml:space="preserve"> to implement Section 338 of the S</w:t>
      </w:r>
      <w:r w:rsidR="007579DB">
        <w:rPr>
          <w:rFonts w:ascii="Times New Roman" w:hAnsi="Times New Roman" w:cs="Times New Roman"/>
        </w:rPr>
        <w:t>ECURE</w:t>
      </w:r>
      <w:r>
        <w:rPr>
          <w:rFonts w:ascii="Times New Roman" w:hAnsi="Times New Roman" w:cs="Times New Roman"/>
        </w:rPr>
        <w:t xml:space="preserve"> 2.0 Act, which with certain exceptions requires </w:t>
      </w:r>
      <w:r w:rsidR="00754BD5">
        <w:rPr>
          <w:rFonts w:ascii="Times New Roman" w:hAnsi="Times New Roman" w:cs="Times New Roman"/>
        </w:rPr>
        <w:t>private sector</w:t>
      </w:r>
      <w:r>
        <w:rPr>
          <w:rFonts w:ascii="Times New Roman" w:hAnsi="Times New Roman" w:cs="Times New Roman"/>
        </w:rPr>
        <w:t xml:space="preserve"> </w:t>
      </w:r>
      <w:r w:rsidRPr="005858E1">
        <w:rPr>
          <w:rFonts w:ascii="Times New Roman" w:hAnsi="Times New Roman" w:cs="Times New Roman"/>
        </w:rPr>
        <w:t>retirement plan</w:t>
      </w:r>
      <w:r w:rsidR="002B570A" w:rsidRPr="005858E1">
        <w:rPr>
          <w:rFonts w:ascii="Times New Roman" w:hAnsi="Times New Roman" w:cs="Times New Roman"/>
        </w:rPr>
        <w:t>s</w:t>
      </w:r>
      <w:r w:rsidRPr="005858E1">
        <w:rPr>
          <w:rFonts w:ascii="Times New Roman" w:hAnsi="Times New Roman" w:cs="Times New Roman"/>
        </w:rPr>
        <w:t xml:space="preserve"> to</w:t>
      </w:r>
      <w:r>
        <w:rPr>
          <w:rFonts w:ascii="Times New Roman" w:hAnsi="Times New Roman" w:cs="Times New Roman"/>
        </w:rPr>
        <w:t xml:space="preserve"> </w:t>
      </w:r>
      <w:r w:rsidR="0045272D">
        <w:rPr>
          <w:rFonts w:ascii="Times New Roman" w:hAnsi="Times New Roman" w:cs="Times New Roman"/>
        </w:rPr>
        <w:t>provide participants with paper benefit statements (annually in the case of defined contribution plans and every three years in the case of defined benefit plans).</w:t>
      </w:r>
      <w:r w:rsidR="005143C7" w:rsidRPr="005143C7">
        <w:rPr>
          <w:rStyle w:val="FootnoteReference"/>
          <w:rFonts w:ascii="Garamond" w:hAnsi="Garamond"/>
        </w:rPr>
        <w:t xml:space="preserve"> </w:t>
      </w:r>
      <w:r w:rsidR="005143C7">
        <w:rPr>
          <w:rStyle w:val="FootnoteReference"/>
          <w:rFonts w:ascii="Garamond" w:hAnsi="Garamond"/>
        </w:rPr>
        <w:footnoteReference w:id="1"/>
      </w:r>
      <w:r w:rsidR="0045272D">
        <w:rPr>
          <w:rFonts w:ascii="Times New Roman" w:hAnsi="Times New Roman" w:cs="Times New Roman"/>
        </w:rPr>
        <w:t xml:space="preserve"> </w:t>
      </w:r>
      <w:r w:rsidR="00F2000D">
        <w:rPr>
          <w:rFonts w:ascii="Times New Roman" w:hAnsi="Times New Roman" w:cs="Times New Roman"/>
        </w:rPr>
        <w:t xml:space="preserve">The proposed provisions </w:t>
      </w:r>
      <w:r w:rsidR="00B67566">
        <w:rPr>
          <w:rFonts w:ascii="Times New Roman" w:hAnsi="Times New Roman" w:cs="Times New Roman"/>
        </w:rPr>
        <w:t>include</w:t>
      </w:r>
      <w:r w:rsidR="00F2000D">
        <w:rPr>
          <w:rFonts w:ascii="Times New Roman" w:hAnsi="Times New Roman" w:cs="Times New Roman"/>
        </w:rPr>
        <w:t xml:space="preserve"> certain changes to two existing safe harbors </w:t>
      </w:r>
      <w:r w:rsidR="00B67566">
        <w:rPr>
          <w:rFonts w:ascii="Times New Roman" w:hAnsi="Times New Roman" w:cs="Times New Roman"/>
        </w:rPr>
        <w:t>for plans using electronic disclosure platforms for some or all of a plan’s participants and beneficiaries.</w:t>
      </w:r>
    </w:p>
    <w:p w14:paraId="0AE3803B" w14:textId="1C9DF534" w:rsidR="00B748C0" w:rsidRDefault="00754BD5" w:rsidP="004877DB">
      <w:pPr>
        <w:ind w:firstLine="720"/>
        <w:rPr>
          <w:rFonts w:ascii="Times New Roman" w:hAnsi="Times New Roman" w:cs="Times New Roman"/>
        </w:rPr>
      </w:pPr>
      <w:r>
        <w:rPr>
          <w:rFonts w:ascii="Times New Roman" w:hAnsi="Times New Roman" w:cs="Times New Roman"/>
        </w:rPr>
        <w:t>The PRC is a non-profit, non-partisan consumer rights organization founded in 1976, just two years after the passage of the Employee Retirement Income Security Act of 1974 (“ERISA”).</w:t>
      </w:r>
      <w:r w:rsidR="00152907">
        <w:rPr>
          <w:rFonts w:ascii="Times New Roman" w:hAnsi="Times New Roman" w:cs="Times New Roman"/>
        </w:rPr>
        <w:t xml:space="preserve"> </w:t>
      </w:r>
      <w:r w:rsidR="00B748C0">
        <w:rPr>
          <w:rFonts w:ascii="Times New Roman" w:hAnsi="Times New Roman" w:cs="Times New Roman"/>
        </w:rPr>
        <w:t xml:space="preserve">The PRC has worked with </w:t>
      </w:r>
      <w:r w:rsidR="00F2000D">
        <w:rPr>
          <w:rFonts w:ascii="Times New Roman" w:hAnsi="Times New Roman" w:cs="Times New Roman"/>
        </w:rPr>
        <w:t>a wide variety of</w:t>
      </w:r>
      <w:r w:rsidR="00B748C0">
        <w:rPr>
          <w:rFonts w:ascii="Times New Roman" w:hAnsi="Times New Roman" w:cs="Times New Roman"/>
        </w:rPr>
        <w:t xml:space="preserve"> stakeholders—</w:t>
      </w:r>
      <w:r w:rsidR="00F2000D">
        <w:rPr>
          <w:rFonts w:ascii="Times New Roman" w:hAnsi="Times New Roman" w:cs="Times New Roman"/>
        </w:rPr>
        <w:t xml:space="preserve">including </w:t>
      </w:r>
      <w:r w:rsidR="00B748C0">
        <w:rPr>
          <w:rFonts w:ascii="Times New Roman" w:hAnsi="Times New Roman" w:cs="Times New Roman"/>
        </w:rPr>
        <w:t>employees and their families, plan sponsors</w:t>
      </w:r>
      <w:r w:rsidR="006633B4">
        <w:rPr>
          <w:rFonts w:ascii="Times New Roman" w:hAnsi="Times New Roman" w:cs="Times New Roman"/>
        </w:rPr>
        <w:t>,</w:t>
      </w:r>
      <w:r w:rsidR="00247607">
        <w:rPr>
          <w:rFonts w:ascii="Times New Roman" w:hAnsi="Times New Roman" w:cs="Times New Roman"/>
        </w:rPr>
        <w:t xml:space="preserve"> and </w:t>
      </w:r>
      <w:r w:rsidR="00B748C0">
        <w:rPr>
          <w:rFonts w:ascii="Times New Roman" w:hAnsi="Times New Roman" w:cs="Times New Roman"/>
        </w:rPr>
        <w:t>service providers—to expand</w:t>
      </w:r>
      <w:r w:rsidR="00115BE2">
        <w:rPr>
          <w:rFonts w:ascii="Times New Roman" w:hAnsi="Times New Roman" w:cs="Times New Roman"/>
        </w:rPr>
        <w:t xml:space="preserve"> coverage </w:t>
      </w:r>
      <w:r w:rsidR="00B748C0">
        <w:rPr>
          <w:rFonts w:ascii="Times New Roman" w:hAnsi="Times New Roman" w:cs="Times New Roman"/>
        </w:rPr>
        <w:t xml:space="preserve">and to improve the adequacy and security of benefits earned under </w:t>
      </w:r>
      <w:r w:rsidR="00115BE2">
        <w:rPr>
          <w:rFonts w:ascii="Times New Roman" w:hAnsi="Times New Roman" w:cs="Times New Roman"/>
        </w:rPr>
        <w:t xml:space="preserve">retirement </w:t>
      </w:r>
      <w:r w:rsidR="00B748C0">
        <w:rPr>
          <w:rFonts w:ascii="Times New Roman" w:hAnsi="Times New Roman" w:cs="Times New Roman"/>
        </w:rPr>
        <w:t>plans.</w:t>
      </w:r>
      <w:r w:rsidR="00F2000D">
        <w:rPr>
          <w:rFonts w:ascii="Times New Roman" w:hAnsi="Times New Roman" w:cs="Times New Roman"/>
        </w:rPr>
        <w:t xml:space="preserve">  </w:t>
      </w:r>
    </w:p>
    <w:p w14:paraId="55285663" w14:textId="43D5C59A" w:rsidR="00F2000D" w:rsidRDefault="005143C7" w:rsidP="004877DB">
      <w:pPr>
        <w:autoSpaceDE w:val="0"/>
        <w:autoSpaceDN w:val="0"/>
        <w:adjustRightInd w:val="0"/>
        <w:ind w:firstLine="720"/>
        <w:rPr>
          <w:rFonts w:ascii="Times New Roman" w:hAnsi="Times New Roman" w:cs="Times New Roman"/>
          <w:kern w:val="0"/>
        </w:rPr>
      </w:pPr>
      <w:r w:rsidRPr="005143C7">
        <w:rPr>
          <w:rFonts w:ascii="Times New Roman" w:hAnsi="Times New Roman" w:cs="Times New Roman"/>
        </w:rPr>
        <w:t xml:space="preserve">The </w:t>
      </w:r>
      <w:r w:rsidR="00F2000D" w:rsidRPr="005143C7">
        <w:rPr>
          <w:rFonts w:ascii="Times New Roman" w:hAnsi="Times New Roman" w:cs="Times New Roman"/>
        </w:rPr>
        <w:t>PRC also</w:t>
      </w:r>
      <w:r w:rsidR="00F2000D" w:rsidRPr="005143C7">
        <w:rPr>
          <w:rFonts w:ascii="Times New Roman" w:hAnsi="Times New Roman" w:cs="Times New Roman"/>
          <w:kern w:val="0"/>
        </w:rPr>
        <w:t xml:space="preserve"> provides direct services to more than 2,000 individuals annually, as well as serving as the Resource Center for six regional pension counseling and information projects covering 3</w:t>
      </w:r>
      <w:r w:rsidR="006633B4">
        <w:rPr>
          <w:rFonts w:ascii="Times New Roman" w:hAnsi="Times New Roman" w:cs="Times New Roman"/>
          <w:kern w:val="0"/>
        </w:rPr>
        <w:t>1</w:t>
      </w:r>
      <w:r w:rsidR="00F2000D" w:rsidRPr="005143C7">
        <w:rPr>
          <w:rFonts w:ascii="Times New Roman" w:hAnsi="Times New Roman" w:cs="Times New Roman"/>
          <w:kern w:val="0"/>
        </w:rPr>
        <w:t xml:space="preserve"> states that provide hands-on help to individuals with retirement benefit problems. Our </w:t>
      </w:r>
      <w:r w:rsidR="00E71605">
        <w:rPr>
          <w:rFonts w:ascii="Times New Roman" w:hAnsi="Times New Roman" w:cs="Times New Roman"/>
          <w:kern w:val="0"/>
        </w:rPr>
        <w:t>work with individuals</w:t>
      </w:r>
      <w:r w:rsidR="00F2000D" w:rsidRPr="005143C7">
        <w:rPr>
          <w:rFonts w:ascii="Times New Roman" w:hAnsi="Times New Roman" w:cs="Times New Roman"/>
          <w:kern w:val="0"/>
        </w:rPr>
        <w:t xml:space="preserve"> </w:t>
      </w:r>
      <w:r w:rsidRPr="005143C7">
        <w:rPr>
          <w:rFonts w:ascii="Times New Roman" w:hAnsi="Times New Roman" w:cs="Times New Roman"/>
          <w:kern w:val="0"/>
        </w:rPr>
        <w:t>helps</w:t>
      </w:r>
      <w:r w:rsidR="00F2000D" w:rsidRPr="005143C7">
        <w:rPr>
          <w:rFonts w:ascii="Times New Roman" w:hAnsi="Times New Roman" w:cs="Times New Roman"/>
          <w:kern w:val="0"/>
        </w:rPr>
        <w:t xml:space="preserve"> us to identify systemic problems in the private pension system and to bring the voices and concerns of workers and retirees to policymakers.</w:t>
      </w:r>
    </w:p>
    <w:p w14:paraId="136BE847" w14:textId="40BD4BC1" w:rsidR="00CE4405" w:rsidRDefault="00097308" w:rsidP="004877DB">
      <w:pPr>
        <w:autoSpaceDE w:val="0"/>
        <w:autoSpaceDN w:val="0"/>
        <w:adjustRightInd w:val="0"/>
        <w:ind w:firstLine="720"/>
        <w:rPr>
          <w:rFonts w:ascii="Times New Roman" w:hAnsi="Times New Roman" w:cs="Times New Roman"/>
          <w:kern w:val="0"/>
        </w:rPr>
      </w:pPr>
      <w:r>
        <w:rPr>
          <w:rFonts w:ascii="Times New Roman" w:hAnsi="Times New Roman" w:cs="Times New Roman"/>
          <w:kern w:val="0"/>
        </w:rPr>
        <w:t xml:space="preserve">The </w:t>
      </w:r>
      <w:r w:rsidR="00276236">
        <w:rPr>
          <w:rFonts w:ascii="Times New Roman" w:hAnsi="Times New Roman" w:cs="Times New Roman"/>
          <w:kern w:val="0"/>
        </w:rPr>
        <w:t xml:space="preserve">proposed </w:t>
      </w:r>
      <w:r>
        <w:rPr>
          <w:rFonts w:ascii="Times New Roman" w:hAnsi="Times New Roman" w:cs="Times New Roman"/>
          <w:kern w:val="0"/>
        </w:rPr>
        <w:t>rulemaking</w:t>
      </w:r>
      <w:r w:rsidR="00197FF1">
        <w:rPr>
          <w:rStyle w:val="FootnoteReference"/>
          <w:rFonts w:ascii="Times New Roman" w:hAnsi="Times New Roman" w:cs="Times New Roman"/>
          <w:kern w:val="0"/>
        </w:rPr>
        <w:footnoteReference w:id="2"/>
      </w:r>
      <w:r w:rsidR="00276236">
        <w:rPr>
          <w:rFonts w:ascii="Times New Roman" w:hAnsi="Times New Roman" w:cs="Times New Roman"/>
          <w:kern w:val="0"/>
        </w:rPr>
        <w:t xml:space="preserve"> to which these comments are directed is, on its face, narrow: implementing the requirements of Section 338 of the </w:t>
      </w:r>
      <w:r w:rsidR="007579DB">
        <w:rPr>
          <w:rFonts w:ascii="Times New Roman" w:hAnsi="Times New Roman" w:cs="Times New Roman"/>
        </w:rPr>
        <w:t>SECURE</w:t>
      </w:r>
      <w:r w:rsidR="00276236">
        <w:rPr>
          <w:rFonts w:ascii="Times New Roman" w:hAnsi="Times New Roman" w:cs="Times New Roman"/>
          <w:kern w:val="0"/>
        </w:rPr>
        <w:t xml:space="preserve"> </w:t>
      </w:r>
      <w:r w:rsidR="002326D1">
        <w:rPr>
          <w:rFonts w:ascii="Times New Roman" w:hAnsi="Times New Roman" w:cs="Times New Roman"/>
          <w:kern w:val="0"/>
        </w:rPr>
        <w:t xml:space="preserve">2.0 </w:t>
      </w:r>
      <w:r w:rsidR="00276236">
        <w:rPr>
          <w:rFonts w:ascii="Times New Roman" w:hAnsi="Times New Roman" w:cs="Times New Roman"/>
          <w:kern w:val="0"/>
        </w:rPr>
        <w:t xml:space="preserve">Act, which provides that certain pension plan participants who otherwise receive </w:t>
      </w:r>
      <w:r w:rsidR="000E1579">
        <w:rPr>
          <w:rFonts w:ascii="Times New Roman" w:hAnsi="Times New Roman" w:cs="Times New Roman"/>
          <w:kern w:val="0"/>
        </w:rPr>
        <w:t>ERISA</w:t>
      </w:r>
      <w:r w:rsidR="006633B4">
        <w:rPr>
          <w:rFonts w:ascii="Times New Roman" w:hAnsi="Times New Roman" w:cs="Times New Roman"/>
          <w:kern w:val="0"/>
        </w:rPr>
        <w:t>-</w:t>
      </w:r>
      <w:r w:rsidR="00276236">
        <w:rPr>
          <w:rFonts w:ascii="Times New Roman" w:hAnsi="Times New Roman" w:cs="Times New Roman"/>
          <w:kern w:val="0"/>
        </w:rPr>
        <w:t xml:space="preserve">mandated disclosures through electronic formats must </w:t>
      </w:r>
      <w:r w:rsidR="001267CB">
        <w:rPr>
          <w:rFonts w:ascii="Times New Roman" w:hAnsi="Times New Roman" w:cs="Times New Roman"/>
          <w:kern w:val="0"/>
        </w:rPr>
        <w:t>receive</w:t>
      </w:r>
      <w:r w:rsidR="000E1579">
        <w:rPr>
          <w:rFonts w:ascii="Times New Roman" w:hAnsi="Times New Roman" w:cs="Times New Roman"/>
          <w:kern w:val="0"/>
        </w:rPr>
        <w:t xml:space="preserve"> certain </w:t>
      </w:r>
      <w:r w:rsidR="001267CB">
        <w:rPr>
          <w:rFonts w:ascii="Times New Roman" w:hAnsi="Times New Roman" w:cs="Times New Roman"/>
          <w:kern w:val="0"/>
        </w:rPr>
        <w:t xml:space="preserve">periodic </w:t>
      </w:r>
      <w:r w:rsidR="000E1579">
        <w:rPr>
          <w:rFonts w:ascii="Times New Roman" w:hAnsi="Times New Roman" w:cs="Times New Roman"/>
          <w:kern w:val="0"/>
        </w:rPr>
        <w:t xml:space="preserve">benefit statements in paper format, either </w:t>
      </w:r>
      <w:r w:rsidR="001267CB">
        <w:rPr>
          <w:rFonts w:ascii="Times New Roman" w:hAnsi="Times New Roman" w:cs="Times New Roman"/>
          <w:kern w:val="0"/>
        </w:rPr>
        <w:lastRenderedPageBreak/>
        <w:t xml:space="preserve">through </w:t>
      </w:r>
      <w:r w:rsidR="003C3AA0">
        <w:rPr>
          <w:rFonts w:ascii="Times New Roman" w:hAnsi="Times New Roman" w:cs="Times New Roman"/>
          <w:kern w:val="0"/>
        </w:rPr>
        <w:t>in-person</w:t>
      </w:r>
      <w:r w:rsidR="001267CB">
        <w:rPr>
          <w:rFonts w:ascii="Times New Roman" w:hAnsi="Times New Roman" w:cs="Times New Roman"/>
          <w:kern w:val="0"/>
        </w:rPr>
        <w:t xml:space="preserve"> distribution at</w:t>
      </w:r>
      <w:r w:rsidR="000E1579">
        <w:rPr>
          <w:rFonts w:ascii="Times New Roman" w:hAnsi="Times New Roman" w:cs="Times New Roman"/>
          <w:kern w:val="0"/>
        </w:rPr>
        <w:t xml:space="preserve"> the workplace or through the U.S. mail. But the rulemaking is embedded in </w:t>
      </w:r>
      <w:r w:rsidR="002D29FD">
        <w:rPr>
          <w:rFonts w:ascii="Times New Roman" w:hAnsi="Times New Roman" w:cs="Times New Roman"/>
          <w:kern w:val="0"/>
        </w:rPr>
        <w:t xml:space="preserve">the </w:t>
      </w:r>
      <w:r w:rsidR="00CE4405">
        <w:rPr>
          <w:rFonts w:ascii="Times New Roman" w:hAnsi="Times New Roman" w:cs="Times New Roman"/>
          <w:kern w:val="0"/>
        </w:rPr>
        <w:t xml:space="preserve">broader </w:t>
      </w:r>
      <w:r w:rsidR="002D29FD">
        <w:rPr>
          <w:rFonts w:ascii="Times New Roman" w:hAnsi="Times New Roman" w:cs="Times New Roman"/>
          <w:kern w:val="0"/>
        </w:rPr>
        <w:t>context of participant/beneficiary disclosure generally</w:t>
      </w:r>
      <w:r w:rsidR="00CE4405">
        <w:rPr>
          <w:rFonts w:ascii="Times New Roman" w:hAnsi="Times New Roman" w:cs="Times New Roman"/>
          <w:kern w:val="0"/>
        </w:rPr>
        <w:t xml:space="preserve">, whose effectiveness is central to achieving Congress’s purposes in enacting ERISA, see ERISA § 2, Findings and Declarations of Policy (“It is hereby declared to be the policy of [ERISA] to </w:t>
      </w:r>
      <w:r w:rsidR="00ED3645">
        <w:rPr>
          <w:rFonts w:ascii="Times New Roman" w:hAnsi="Times New Roman" w:cs="Times New Roman"/>
          <w:kern w:val="0"/>
        </w:rPr>
        <w:t xml:space="preserve">protect . . . the interests of participants in employee benefit plans and their beneficiaries) by requiring the disclosure and reporting to participants and beneficiaries of financial and other information thereto . . .”).  </w:t>
      </w:r>
    </w:p>
    <w:p w14:paraId="7CA81C76" w14:textId="253FC1B5" w:rsidR="00ED3645" w:rsidRDefault="00ED3645" w:rsidP="004877DB">
      <w:pPr>
        <w:autoSpaceDE w:val="0"/>
        <w:autoSpaceDN w:val="0"/>
        <w:adjustRightInd w:val="0"/>
        <w:ind w:firstLine="720"/>
        <w:rPr>
          <w:rFonts w:ascii="Times New Roman" w:hAnsi="Times New Roman" w:cs="Times New Roman"/>
          <w:kern w:val="0"/>
        </w:rPr>
      </w:pPr>
      <w:r>
        <w:rPr>
          <w:rFonts w:ascii="Times New Roman" w:hAnsi="Times New Roman" w:cs="Times New Roman"/>
          <w:kern w:val="0"/>
        </w:rPr>
        <w:t>The Center, in its half century of work with participants and beneficiaries, has seen overwhelming evidence that such disclosure is essential to the successful functioning of ERISA.  Timely transmission of pertinent information—benefit statements, modifications to investment options,</w:t>
      </w:r>
      <w:r w:rsidR="00D93E84">
        <w:rPr>
          <w:rFonts w:ascii="Times New Roman" w:hAnsi="Times New Roman" w:cs="Times New Roman"/>
          <w:kern w:val="0"/>
        </w:rPr>
        <w:t xml:space="preserve"> descriptions summarizing plan terms and participant rights and responsibilities—are necessary </w:t>
      </w:r>
      <w:r w:rsidR="004877DB">
        <w:rPr>
          <w:rFonts w:ascii="Times New Roman" w:hAnsi="Times New Roman" w:cs="Times New Roman"/>
          <w:kern w:val="0"/>
        </w:rPr>
        <w:t>if</w:t>
      </w:r>
      <w:r w:rsidR="00D93E84">
        <w:rPr>
          <w:rFonts w:ascii="Times New Roman" w:hAnsi="Times New Roman" w:cs="Times New Roman"/>
          <w:kern w:val="0"/>
        </w:rPr>
        <w:t xml:space="preserve"> participants </w:t>
      </w:r>
      <w:r w:rsidR="004877DB">
        <w:rPr>
          <w:rFonts w:ascii="Times New Roman" w:hAnsi="Times New Roman" w:cs="Times New Roman"/>
          <w:kern w:val="0"/>
        </w:rPr>
        <w:t xml:space="preserve">are to </w:t>
      </w:r>
      <w:r w:rsidR="00D93E84">
        <w:rPr>
          <w:rFonts w:ascii="Times New Roman" w:hAnsi="Times New Roman" w:cs="Times New Roman"/>
          <w:kern w:val="0"/>
        </w:rPr>
        <w:t>understan</w:t>
      </w:r>
      <w:r w:rsidR="004877DB">
        <w:rPr>
          <w:rFonts w:ascii="Times New Roman" w:hAnsi="Times New Roman" w:cs="Times New Roman"/>
          <w:kern w:val="0"/>
        </w:rPr>
        <w:t>d</w:t>
      </w:r>
      <w:r w:rsidR="00D93E84">
        <w:rPr>
          <w:rFonts w:ascii="Times New Roman" w:hAnsi="Times New Roman" w:cs="Times New Roman"/>
          <w:kern w:val="0"/>
        </w:rPr>
        <w:t xml:space="preserve"> their plans and benefits and </w:t>
      </w:r>
      <w:r w:rsidR="004877DB">
        <w:rPr>
          <w:rFonts w:ascii="Times New Roman" w:hAnsi="Times New Roman" w:cs="Times New Roman"/>
          <w:kern w:val="0"/>
        </w:rPr>
        <w:t xml:space="preserve">to </w:t>
      </w:r>
      <w:r w:rsidR="00D93E84">
        <w:rPr>
          <w:rFonts w:ascii="Times New Roman" w:hAnsi="Times New Roman" w:cs="Times New Roman"/>
          <w:kern w:val="0"/>
        </w:rPr>
        <w:t>engag</w:t>
      </w:r>
      <w:r w:rsidR="004877DB">
        <w:rPr>
          <w:rFonts w:ascii="Times New Roman" w:hAnsi="Times New Roman" w:cs="Times New Roman"/>
          <w:kern w:val="0"/>
        </w:rPr>
        <w:t>e</w:t>
      </w:r>
      <w:r w:rsidR="00D93E84">
        <w:rPr>
          <w:rFonts w:ascii="Times New Roman" w:hAnsi="Times New Roman" w:cs="Times New Roman"/>
          <w:kern w:val="0"/>
        </w:rPr>
        <w:t xml:space="preserve"> in </w:t>
      </w:r>
      <w:r w:rsidR="004877DB">
        <w:rPr>
          <w:rFonts w:ascii="Times New Roman" w:hAnsi="Times New Roman" w:cs="Times New Roman"/>
          <w:kern w:val="0"/>
        </w:rPr>
        <w:t xml:space="preserve">effective </w:t>
      </w:r>
      <w:r w:rsidR="00D93E84">
        <w:rPr>
          <w:rFonts w:ascii="Times New Roman" w:hAnsi="Times New Roman" w:cs="Times New Roman"/>
          <w:kern w:val="0"/>
        </w:rPr>
        <w:t xml:space="preserve">planning for a secure retirement.  Moreover, the documents received </w:t>
      </w:r>
      <w:r w:rsidR="00EC63A9">
        <w:rPr>
          <w:rFonts w:ascii="Times New Roman" w:hAnsi="Times New Roman" w:cs="Times New Roman"/>
          <w:kern w:val="0"/>
        </w:rPr>
        <w:t>in</w:t>
      </w:r>
      <w:r w:rsidR="00D93E84">
        <w:rPr>
          <w:rFonts w:ascii="Times New Roman" w:hAnsi="Times New Roman" w:cs="Times New Roman"/>
          <w:kern w:val="0"/>
        </w:rPr>
        <w:t xml:space="preserve"> such disclosures</w:t>
      </w:r>
      <w:r w:rsidR="00B657D2">
        <w:rPr>
          <w:rFonts w:ascii="Times New Roman" w:hAnsi="Times New Roman" w:cs="Times New Roman"/>
          <w:kern w:val="0"/>
        </w:rPr>
        <w:t>, which participants often retain for years after the disclosure, can be</w:t>
      </w:r>
      <w:r w:rsidR="00D93E84">
        <w:rPr>
          <w:rFonts w:ascii="Times New Roman" w:hAnsi="Times New Roman" w:cs="Times New Roman"/>
          <w:kern w:val="0"/>
        </w:rPr>
        <w:t xml:space="preserve"> critical to</w:t>
      </w:r>
      <w:r w:rsidR="00B657D2">
        <w:rPr>
          <w:rFonts w:ascii="Times New Roman" w:hAnsi="Times New Roman" w:cs="Times New Roman"/>
          <w:kern w:val="0"/>
        </w:rPr>
        <w:t xml:space="preserve"> a participant’s ability to prove entitlement to benefits in cases where such entitlement is disputed by the plan</w:t>
      </w:r>
      <w:r w:rsidR="00D93E84">
        <w:rPr>
          <w:rFonts w:ascii="Times New Roman" w:hAnsi="Times New Roman" w:cs="Times New Roman"/>
          <w:kern w:val="0"/>
        </w:rPr>
        <w:t xml:space="preserve">.  </w:t>
      </w:r>
    </w:p>
    <w:p w14:paraId="2F15B69E" w14:textId="37E56771" w:rsidR="00B657D2" w:rsidRDefault="00301CF3" w:rsidP="004877DB">
      <w:pPr>
        <w:autoSpaceDE w:val="0"/>
        <w:autoSpaceDN w:val="0"/>
        <w:adjustRightInd w:val="0"/>
        <w:ind w:firstLine="720"/>
        <w:rPr>
          <w:rFonts w:ascii="Times New Roman" w:hAnsi="Times New Roman" w:cs="Times New Roman"/>
          <w:kern w:val="0"/>
        </w:rPr>
      </w:pPr>
      <w:r>
        <w:rPr>
          <w:rFonts w:ascii="Times New Roman" w:hAnsi="Times New Roman" w:cs="Times New Roman"/>
          <w:kern w:val="0"/>
        </w:rPr>
        <w:t xml:space="preserve">We have divided our comments into </w:t>
      </w:r>
      <w:r w:rsidR="00B67566">
        <w:rPr>
          <w:rFonts w:ascii="Times New Roman" w:hAnsi="Times New Roman" w:cs="Times New Roman"/>
          <w:kern w:val="0"/>
        </w:rPr>
        <w:t xml:space="preserve">four </w:t>
      </w:r>
      <w:r>
        <w:rPr>
          <w:rFonts w:ascii="Times New Roman" w:hAnsi="Times New Roman" w:cs="Times New Roman"/>
          <w:kern w:val="0"/>
        </w:rPr>
        <w:t>sections. The first section provides</w:t>
      </w:r>
      <w:r w:rsidR="00D71BD3">
        <w:rPr>
          <w:rFonts w:ascii="Times New Roman" w:hAnsi="Times New Roman" w:cs="Times New Roman"/>
          <w:kern w:val="0"/>
        </w:rPr>
        <w:t xml:space="preserve"> historical background and context for the current proposed changes to the disclosure rules to implement </w:t>
      </w:r>
      <w:r w:rsidR="007579DB">
        <w:rPr>
          <w:rFonts w:ascii="Times New Roman" w:hAnsi="Times New Roman" w:cs="Times New Roman"/>
        </w:rPr>
        <w:t>SECURE</w:t>
      </w:r>
      <w:r w:rsidR="00D71BD3">
        <w:rPr>
          <w:rFonts w:ascii="Times New Roman" w:hAnsi="Times New Roman" w:cs="Times New Roman"/>
          <w:kern w:val="0"/>
        </w:rPr>
        <w:t xml:space="preserve"> 2.0’s new paper delivery requirement. The second section provides specific comments on those proposed modification</w:t>
      </w:r>
      <w:r w:rsidR="00451054">
        <w:rPr>
          <w:rFonts w:ascii="Times New Roman" w:hAnsi="Times New Roman" w:cs="Times New Roman"/>
          <w:kern w:val="0"/>
        </w:rPr>
        <w:t>s</w:t>
      </w:r>
      <w:r w:rsidR="00D71BD3">
        <w:rPr>
          <w:rFonts w:ascii="Times New Roman" w:hAnsi="Times New Roman" w:cs="Times New Roman"/>
          <w:kern w:val="0"/>
        </w:rPr>
        <w:t xml:space="preserve"> to the disclosure rules</w:t>
      </w:r>
      <w:r w:rsidR="00B67566">
        <w:rPr>
          <w:rFonts w:ascii="Times New Roman" w:hAnsi="Times New Roman" w:cs="Times New Roman"/>
          <w:kern w:val="0"/>
        </w:rPr>
        <w:t xml:space="preserve"> under </w:t>
      </w:r>
      <w:r w:rsidR="00451054">
        <w:rPr>
          <w:rFonts w:ascii="Times New Roman" w:hAnsi="Times New Roman" w:cs="Times New Roman"/>
          <w:kern w:val="0"/>
        </w:rPr>
        <w:t xml:space="preserve">the </w:t>
      </w:r>
      <w:r w:rsidR="00B67566">
        <w:rPr>
          <w:rFonts w:ascii="Times New Roman" w:hAnsi="Times New Roman" w:cs="Times New Roman"/>
          <w:kern w:val="0"/>
        </w:rPr>
        <w:t>2002 safe harbor</w:t>
      </w:r>
      <w:r w:rsidR="00B657D2">
        <w:rPr>
          <w:rFonts w:ascii="Times New Roman" w:hAnsi="Times New Roman" w:cs="Times New Roman"/>
          <w:kern w:val="0"/>
        </w:rPr>
        <w:t xml:space="preserve">. The third section </w:t>
      </w:r>
      <w:r w:rsidR="00451054">
        <w:rPr>
          <w:rFonts w:ascii="Times New Roman" w:hAnsi="Times New Roman" w:cs="Times New Roman"/>
          <w:kern w:val="0"/>
        </w:rPr>
        <w:t xml:space="preserve">provides specific comments on the proposed changes to the 2020 safe harbor. The fourth </w:t>
      </w:r>
      <w:r w:rsidR="00B657D2">
        <w:rPr>
          <w:rFonts w:ascii="Times New Roman" w:hAnsi="Times New Roman" w:cs="Times New Roman"/>
          <w:kern w:val="0"/>
        </w:rPr>
        <w:t xml:space="preserve">argues that the current disclosure rules impede </w:t>
      </w:r>
      <w:r w:rsidR="00992211">
        <w:rPr>
          <w:rFonts w:ascii="Times New Roman" w:hAnsi="Times New Roman" w:cs="Times New Roman"/>
          <w:kern w:val="0"/>
        </w:rPr>
        <w:t>the purpose of disclosure</w:t>
      </w:r>
      <w:r w:rsidR="00B657D2">
        <w:rPr>
          <w:rFonts w:ascii="Times New Roman" w:hAnsi="Times New Roman" w:cs="Times New Roman"/>
          <w:kern w:val="0"/>
        </w:rPr>
        <w:t xml:space="preserve"> and should be revised to maximize the chances that such disclosures will actually be read and retained by participants.</w:t>
      </w:r>
    </w:p>
    <w:p w14:paraId="50732574" w14:textId="087BEF25" w:rsidR="00301CF3" w:rsidRPr="003D7FF1" w:rsidRDefault="00B657D2" w:rsidP="00B657D2">
      <w:pPr>
        <w:pStyle w:val="ListParagraph"/>
        <w:numPr>
          <w:ilvl w:val="0"/>
          <w:numId w:val="1"/>
        </w:numPr>
        <w:autoSpaceDE w:val="0"/>
        <w:autoSpaceDN w:val="0"/>
        <w:adjustRightInd w:val="0"/>
        <w:rPr>
          <w:rFonts w:ascii="Times New Roman" w:hAnsi="Times New Roman" w:cs="Times New Roman"/>
          <w:b/>
          <w:bCs/>
          <w:kern w:val="0"/>
        </w:rPr>
      </w:pPr>
      <w:r>
        <w:rPr>
          <w:rFonts w:ascii="Times New Roman" w:hAnsi="Times New Roman" w:cs="Times New Roman"/>
          <w:kern w:val="0"/>
        </w:rPr>
        <w:t xml:space="preserve"> </w:t>
      </w:r>
      <w:r w:rsidRPr="003D7FF1">
        <w:rPr>
          <w:rFonts w:ascii="Times New Roman" w:hAnsi="Times New Roman" w:cs="Times New Roman"/>
          <w:b/>
          <w:bCs/>
          <w:kern w:val="0"/>
        </w:rPr>
        <w:t xml:space="preserve">ERISA Disclosure: Background and Context </w:t>
      </w:r>
    </w:p>
    <w:p w14:paraId="1A2894E9" w14:textId="650C1CD2" w:rsidR="004350B3" w:rsidRDefault="00D93E84" w:rsidP="004877DB">
      <w:pPr>
        <w:autoSpaceDE w:val="0"/>
        <w:autoSpaceDN w:val="0"/>
        <w:adjustRightInd w:val="0"/>
        <w:ind w:firstLine="720"/>
        <w:rPr>
          <w:rFonts w:ascii="Times New Roman" w:hAnsi="Times New Roman" w:cs="Times New Roman"/>
          <w:kern w:val="0"/>
        </w:rPr>
      </w:pPr>
      <w:r>
        <w:rPr>
          <w:rFonts w:ascii="Times New Roman" w:hAnsi="Times New Roman" w:cs="Times New Roman"/>
          <w:kern w:val="0"/>
        </w:rPr>
        <w:t xml:space="preserve">For the first 30 years of ERISA, virtually all participants received paper copies of mandated ERISA disclosures at work or </w:t>
      </w:r>
      <w:r w:rsidR="00EC63A9">
        <w:rPr>
          <w:rFonts w:ascii="Times New Roman" w:hAnsi="Times New Roman" w:cs="Times New Roman"/>
          <w:kern w:val="0"/>
        </w:rPr>
        <w:t xml:space="preserve">through the mail. Beginning in 2002, however, the Department engaged in rulemaking that </w:t>
      </w:r>
      <w:r w:rsidR="00301CF3">
        <w:rPr>
          <w:rFonts w:ascii="Times New Roman" w:hAnsi="Times New Roman" w:cs="Times New Roman"/>
          <w:kern w:val="0"/>
        </w:rPr>
        <w:t xml:space="preserve">created safe harbors that </w:t>
      </w:r>
      <w:r w:rsidR="00EC63A9">
        <w:rPr>
          <w:rFonts w:ascii="Times New Roman" w:hAnsi="Times New Roman" w:cs="Times New Roman"/>
          <w:kern w:val="0"/>
        </w:rPr>
        <w:t xml:space="preserve">permitted plans to default </w:t>
      </w:r>
      <w:r w:rsidR="00451054">
        <w:rPr>
          <w:rFonts w:ascii="Times New Roman" w:hAnsi="Times New Roman" w:cs="Times New Roman"/>
          <w:kern w:val="0"/>
        </w:rPr>
        <w:t xml:space="preserve">many </w:t>
      </w:r>
      <w:r w:rsidR="00EC63A9">
        <w:rPr>
          <w:rFonts w:ascii="Times New Roman" w:hAnsi="Times New Roman" w:cs="Times New Roman"/>
          <w:kern w:val="0"/>
        </w:rPr>
        <w:t>participants into electronic delivery</w:t>
      </w:r>
      <w:r w:rsidR="00B657D2">
        <w:rPr>
          <w:rFonts w:ascii="Times New Roman" w:hAnsi="Times New Roman" w:cs="Times New Roman"/>
          <w:kern w:val="0"/>
        </w:rPr>
        <w:t xml:space="preserve"> of such </w:t>
      </w:r>
      <w:r w:rsidR="00451054">
        <w:rPr>
          <w:rFonts w:ascii="Times New Roman" w:hAnsi="Times New Roman" w:cs="Times New Roman"/>
          <w:kern w:val="0"/>
        </w:rPr>
        <w:t>disclosures</w:t>
      </w:r>
      <w:r w:rsidR="00301CF3">
        <w:rPr>
          <w:rFonts w:ascii="Times New Roman" w:hAnsi="Times New Roman" w:cs="Times New Roman"/>
          <w:kern w:val="0"/>
        </w:rPr>
        <w:t>. Th</w:t>
      </w:r>
      <w:r w:rsidR="00451054">
        <w:rPr>
          <w:rFonts w:ascii="Times New Roman" w:hAnsi="Times New Roman" w:cs="Times New Roman"/>
          <w:kern w:val="0"/>
        </w:rPr>
        <w:t>is</w:t>
      </w:r>
      <w:r w:rsidR="00301CF3">
        <w:rPr>
          <w:rFonts w:ascii="Times New Roman" w:hAnsi="Times New Roman" w:cs="Times New Roman"/>
          <w:kern w:val="0"/>
        </w:rPr>
        <w:t xml:space="preserve"> first safe harbor permitted an employer to provide electronic disclosure to participant</w:t>
      </w:r>
      <w:r w:rsidR="00115BE2">
        <w:rPr>
          <w:rFonts w:ascii="Times New Roman" w:hAnsi="Times New Roman" w:cs="Times New Roman"/>
          <w:kern w:val="0"/>
        </w:rPr>
        <w:t>s</w:t>
      </w:r>
      <w:r w:rsidR="00301CF3">
        <w:rPr>
          <w:rFonts w:ascii="Times New Roman" w:hAnsi="Times New Roman" w:cs="Times New Roman"/>
          <w:kern w:val="0"/>
        </w:rPr>
        <w:t xml:space="preserve"> who</w:t>
      </w:r>
      <w:r w:rsidR="006633B4">
        <w:rPr>
          <w:rFonts w:ascii="Times New Roman" w:hAnsi="Times New Roman" w:cs="Times New Roman"/>
          <w:kern w:val="0"/>
        </w:rPr>
        <w:t xml:space="preserve"> </w:t>
      </w:r>
      <w:r w:rsidR="00115BE2">
        <w:rPr>
          <w:rFonts w:ascii="Times New Roman" w:hAnsi="Times New Roman" w:cs="Times New Roman"/>
          <w:kern w:val="0"/>
        </w:rPr>
        <w:t>(</w:t>
      </w:r>
      <w:r w:rsidR="00CF6E53">
        <w:rPr>
          <w:rFonts w:ascii="Times New Roman" w:hAnsi="Times New Roman" w:cs="Times New Roman"/>
          <w:kern w:val="0"/>
        </w:rPr>
        <w:t xml:space="preserve">1) </w:t>
      </w:r>
      <w:r w:rsidR="00115BE2">
        <w:rPr>
          <w:rFonts w:ascii="Times New Roman" w:hAnsi="Times New Roman" w:cs="Times New Roman"/>
          <w:kern w:val="0"/>
        </w:rPr>
        <w:t xml:space="preserve">were </w:t>
      </w:r>
      <w:r w:rsidR="00301CF3">
        <w:rPr>
          <w:rFonts w:ascii="Times New Roman" w:hAnsi="Times New Roman" w:cs="Times New Roman"/>
          <w:kern w:val="0"/>
        </w:rPr>
        <w:t xml:space="preserve">“wired at work,” </w:t>
      </w:r>
      <w:r w:rsidR="00B657D2">
        <w:rPr>
          <w:rFonts w:ascii="Times New Roman" w:hAnsi="Times New Roman" w:cs="Times New Roman"/>
          <w:kern w:val="0"/>
        </w:rPr>
        <w:t xml:space="preserve">i.e., whose job responsibilities required them to </w:t>
      </w:r>
      <w:r w:rsidR="00CF6E53">
        <w:rPr>
          <w:rFonts w:ascii="Times New Roman" w:hAnsi="Times New Roman" w:cs="Times New Roman"/>
          <w:kern w:val="0"/>
        </w:rPr>
        <w:t xml:space="preserve">be able </w:t>
      </w:r>
      <w:r w:rsidR="00B657D2">
        <w:rPr>
          <w:rFonts w:ascii="Times New Roman" w:hAnsi="Times New Roman" w:cs="Times New Roman"/>
          <w:kern w:val="0"/>
        </w:rPr>
        <w:t xml:space="preserve">access the plan sponsor’s </w:t>
      </w:r>
      <w:r w:rsidR="004350B3">
        <w:rPr>
          <w:rFonts w:ascii="Times New Roman" w:hAnsi="Times New Roman" w:cs="Times New Roman"/>
          <w:kern w:val="0"/>
        </w:rPr>
        <w:t>electronic information system at work</w:t>
      </w:r>
      <w:r w:rsidR="00451054">
        <w:rPr>
          <w:rFonts w:ascii="Times New Roman" w:hAnsi="Times New Roman" w:cs="Times New Roman"/>
          <w:kern w:val="0"/>
        </w:rPr>
        <w:t xml:space="preserve"> and </w:t>
      </w:r>
      <w:r w:rsidR="00992211">
        <w:rPr>
          <w:rFonts w:ascii="Times New Roman" w:hAnsi="Times New Roman" w:cs="Times New Roman"/>
          <w:kern w:val="0"/>
        </w:rPr>
        <w:t>whose</w:t>
      </w:r>
      <w:r w:rsidR="00451054">
        <w:rPr>
          <w:rFonts w:ascii="Times New Roman" w:hAnsi="Times New Roman" w:cs="Times New Roman"/>
          <w:kern w:val="0"/>
        </w:rPr>
        <w:t xml:space="preserve"> ability to access </w:t>
      </w:r>
      <w:r w:rsidR="00CF6E53">
        <w:rPr>
          <w:rFonts w:ascii="Times New Roman" w:hAnsi="Times New Roman" w:cs="Times New Roman"/>
          <w:kern w:val="0"/>
        </w:rPr>
        <w:t>electronic documents was integral to their job duties</w:t>
      </w:r>
      <w:r w:rsidR="004350B3">
        <w:rPr>
          <w:rFonts w:ascii="Times New Roman" w:hAnsi="Times New Roman" w:cs="Times New Roman"/>
          <w:kern w:val="0"/>
        </w:rPr>
        <w:t xml:space="preserve">, </w:t>
      </w:r>
      <w:r w:rsidR="00CF6E53">
        <w:rPr>
          <w:rFonts w:ascii="Times New Roman" w:hAnsi="Times New Roman" w:cs="Times New Roman"/>
          <w:kern w:val="0"/>
        </w:rPr>
        <w:t xml:space="preserve">or </w:t>
      </w:r>
      <w:r w:rsidR="006633B4">
        <w:rPr>
          <w:rFonts w:ascii="Times New Roman" w:hAnsi="Times New Roman" w:cs="Times New Roman"/>
          <w:kern w:val="0"/>
        </w:rPr>
        <w:t>(</w:t>
      </w:r>
      <w:r w:rsidR="00CF6E53">
        <w:rPr>
          <w:rFonts w:ascii="Times New Roman" w:hAnsi="Times New Roman" w:cs="Times New Roman"/>
          <w:kern w:val="0"/>
        </w:rPr>
        <w:t xml:space="preserve">2) </w:t>
      </w:r>
      <w:r w:rsidR="004350B3">
        <w:rPr>
          <w:rFonts w:ascii="Times New Roman" w:hAnsi="Times New Roman" w:cs="Times New Roman"/>
          <w:kern w:val="0"/>
        </w:rPr>
        <w:t>other</w:t>
      </w:r>
      <w:r w:rsidR="00301CF3">
        <w:rPr>
          <w:rFonts w:ascii="Times New Roman" w:hAnsi="Times New Roman" w:cs="Times New Roman"/>
          <w:kern w:val="0"/>
        </w:rPr>
        <w:t xml:space="preserve"> participants and beneficiaries who </w:t>
      </w:r>
      <w:r w:rsidR="00CF6E53">
        <w:rPr>
          <w:rFonts w:ascii="Times New Roman" w:hAnsi="Times New Roman" w:cs="Times New Roman"/>
          <w:kern w:val="0"/>
        </w:rPr>
        <w:t xml:space="preserve">were entitled to paper but </w:t>
      </w:r>
      <w:r w:rsidR="00301CF3">
        <w:rPr>
          <w:rFonts w:ascii="Times New Roman" w:hAnsi="Times New Roman" w:cs="Times New Roman"/>
          <w:kern w:val="0"/>
        </w:rPr>
        <w:t xml:space="preserve">voluntarily elected to receive disclosures electronically. </w:t>
      </w:r>
      <w:r w:rsidR="004350B3">
        <w:rPr>
          <w:rFonts w:ascii="Times New Roman" w:hAnsi="Times New Roman" w:cs="Times New Roman"/>
          <w:kern w:val="0"/>
        </w:rPr>
        <w:t xml:space="preserve">These two groups of employees retained the ability to request a document </w:t>
      </w:r>
      <w:r w:rsidR="00115BE2">
        <w:rPr>
          <w:rFonts w:ascii="Times New Roman" w:hAnsi="Times New Roman" w:cs="Times New Roman"/>
          <w:kern w:val="0"/>
        </w:rPr>
        <w:t xml:space="preserve">to </w:t>
      </w:r>
      <w:r w:rsidR="004350B3">
        <w:rPr>
          <w:rFonts w:ascii="Times New Roman" w:hAnsi="Times New Roman" w:cs="Times New Roman"/>
          <w:kern w:val="0"/>
        </w:rPr>
        <w:t>be furnished in paper, but without such request</w:t>
      </w:r>
      <w:r w:rsidR="00CF6E53">
        <w:rPr>
          <w:rFonts w:ascii="Times New Roman" w:hAnsi="Times New Roman" w:cs="Times New Roman"/>
          <w:kern w:val="0"/>
        </w:rPr>
        <w:t xml:space="preserve"> (or withdrawal of consent)</w:t>
      </w:r>
      <w:r w:rsidR="004350B3">
        <w:rPr>
          <w:rFonts w:ascii="Times New Roman" w:hAnsi="Times New Roman" w:cs="Times New Roman"/>
          <w:kern w:val="0"/>
        </w:rPr>
        <w:t xml:space="preserve">, no paper copy of the document would be delivered.  </w:t>
      </w:r>
    </w:p>
    <w:p w14:paraId="317DE91D" w14:textId="4EE6ECAE" w:rsidR="00D93E84" w:rsidRDefault="00301CF3" w:rsidP="004877DB">
      <w:pPr>
        <w:autoSpaceDE w:val="0"/>
        <w:autoSpaceDN w:val="0"/>
        <w:adjustRightInd w:val="0"/>
        <w:ind w:firstLine="720"/>
        <w:rPr>
          <w:rFonts w:ascii="Times New Roman" w:hAnsi="Times New Roman" w:cs="Times New Roman"/>
          <w:kern w:val="0"/>
        </w:rPr>
      </w:pPr>
      <w:r>
        <w:rPr>
          <w:rFonts w:ascii="Times New Roman" w:hAnsi="Times New Roman" w:cs="Times New Roman"/>
          <w:kern w:val="0"/>
        </w:rPr>
        <w:t>In 202</w:t>
      </w:r>
      <w:r w:rsidR="00CF6E53">
        <w:rPr>
          <w:rFonts w:ascii="Times New Roman" w:hAnsi="Times New Roman" w:cs="Times New Roman"/>
          <w:kern w:val="0"/>
        </w:rPr>
        <w:t>0</w:t>
      </w:r>
      <w:r>
        <w:rPr>
          <w:rFonts w:ascii="Times New Roman" w:hAnsi="Times New Roman" w:cs="Times New Roman"/>
          <w:kern w:val="0"/>
        </w:rPr>
        <w:t xml:space="preserve">, the Department created a second safe harbor that generally provided that any participant </w:t>
      </w:r>
      <w:r w:rsidR="004350B3">
        <w:rPr>
          <w:rFonts w:ascii="Times New Roman" w:hAnsi="Times New Roman" w:cs="Times New Roman"/>
          <w:kern w:val="0"/>
        </w:rPr>
        <w:t xml:space="preserve">or beneficiary for whom the employer has </w:t>
      </w:r>
      <w:r w:rsidR="00CF6E53">
        <w:rPr>
          <w:rFonts w:ascii="Times New Roman" w:hAnsi="Times New Roman" w:cs="Times New Roman"/>
          <w:kern w:val="0"/>
        </w:rPr>
        <w:t xml:space="preserve">or can assign </w:t>
      </w:r>
      <w:r w:rsidR="004350B3">
        <w:rPr>
          <w:rFonts w:ascii="Times New Roman" w:hAnsi="Times New Roman" w:cs="Times New Roman"/>
          <w:kern w:val="0"/>
        </w:rPr>
        <w:t>an email address</w:t>
      </w:r>
      <w:r w:rsidR="00CF6E53">
        <w:rPr>
          <w:rFonts w:ascii="Times New Roman" w:hAnsi="Times New Roman" w:cs="Times New Roman"/>
          <w:kern w:val="0"/>
        </w:rPr>
        <w:t>,</w:t>
      </w:r>
      <w:r w:rsidR="004350B3">
        <w:rPr>
          <w:rFonts w:ascii="Times New Roman" w:hAnsi="Times New Roman" w:cs="Times New Roman"/>
          <w:kern w:val="0"/>
        </w:rPr>
        <w:t xml:space="preserve"> or in some cases only a phone number for a smart phone, could be defaulted into </w:t>
      </w:r>
      <w:r w:rsidR="00951605">
        <w:rPr>
          <w:rFonts w:ascii="Times New Roman" w:hAnsi="Times New Roman" w:cs="Times New Roman"/>
          <w:kern w:val="0"/>
        </w:rPr>
        <w:t>electronic notice</w:t>
      </w:r>
      <w:r w:rsidR="00115BE2">
        <w:rPr>
          <w:rFonts w:ascii="Times New Roman" w:hAnsi="Times New Roman" w:cs="Times New Roman"/>
          <w:kern w:val="0"/>
        </w:rPr>
        <w:t xml:space="preserve"> </w:t>
      </w:r>
      <w:r w:rsidR="006633B4" w:rsidRPr="006633B4">
        <w:rPr>
          <w:rFonts w:ascii="Times New Roman" w:hAnsi="Times New Roman" w:cs="Times New Roman"/>
          <w:kern w:val="0"/>
        </w:rPr>
        <w:t>—</w:t>
      </w:r>
      <w:r w:rsidR="00115BE2">
        <w:rPr>
          <w:rFonts w:ascii="Times New Roman" w:hAnsi="Times New Roman" w:cs="Times New Roman"/>
          <w:kern w:val="0"/>
        </w:rPr>
        <w:t xml:space="preserve"> </w:t>
      </w:r>
      <w:r w:rsidR="00951605">
        <w:rPr>
          <w:rFonts w:ascii="Times New Roman" w:hAnsi="Times New Roman" w:cs="Times New Roman"/>
          <w:kern w:val="0"/>
        </w:rPr>
        <w:t>with a twist. Unlike the 2002 safe harbor, which appears to have required actual electronic delivery</w:t>
      </w:r>
      <w:r w:rsidR="00CF6E53">
        <w:rPr>
          <w:rFonts w:ascii="Times New Roman" w:hAnsi="Times New Roman" w:cs="Times New Roman"/>
          <w:kern w:val="0"/>
        </w:rPr>
        <w:t xml:space="preserve"> of </w:t>
      </w:r>
      <w:r w:rsidR="00CF6E53">
        <w:rPr>
          <w:rFonts w:ascii="Times New Roman" w:hAnsi="Times New Roman" w:cs="Times New Roman"/>
          <w:kern w:val="0"/>
        </w:rPr>
        <w:lastRenderedPageBreak/>
        <w:t>the disclosure itself</w:t>
      </w:r>
      <w:r w:rsidR="00951605">
        <w:rPr>
          <w:rFonts w:ascii="Times New Roman" w:hAnsi="Times New Roman" w:cs="Times New Roman"/>
          <w:kern w:val="0"/>
        </w:rPr>
        <w:t xml:space="preserve">, the new safe harbor permitted the plan to provide only a notice that a new disclosure could be accessed on a plan website. This safe </w:t>
      </w:r>
      <w:r w:rsidR="000B5B09">
        <w:rPr>
          <w:rFonts w:ascii="Times New Roman" w:hAnsi="Times New Roman" w:cs="Times New Roman"/>
          <w:kern w:val="0"/>
        </w:rPr>
        <w:t>harbor</w:t>
      </w:r>
      <w:r w:rsidR="00951605">
        <w:rPr>
          <w:rFonts w:ascii="Times New Roman" w:hAnsi="Times New Roman" w:cs="Times New Roman"/>
          <w:kern w:val="0"/>
        </w:rPr>
        <w:t xml:space="preserve"> does provide</w:t>
      </w:r>
      <w:r w:rsidR="004350B3">
        <w:rPr>
          <w:rFonts w:ascii="Times New Roman" w:hAnsi="Times New Roman" w:cs="Times New Roman"/>
          <w:kern w:val="0"/>
        </w:rPr>
        <w:t xml:space="preserve"> that a participant </w:t>
      </w:r>
      <w:r w:rsidR="00951605">
        <w:rPr>
          <w:rFonts w:ascii="Times New Roman" w:hAnsi="Times New Roman" w:cs="Times New Roman"/>
          <w:kern w:val="0"/>
        </w:rPr>
        <w:t>can</w:t>
      </w:r>
      <w:r w:rsidR="004350B3">
        <w:rPr>
          <w:rFonts w:ascii="Times New Roman" w:hAnsi="Times New Roman" w:cs="Times New Roman"/>
          <w:kern w:val="0"/>
        </w:rPr>
        <w:t xml:space="preserve"> </w:t>
      </w:r>
      <w:r w:rsidR="00951605">
        <w:rPr>
          <w:rFonts w:ascii="Times New Roman" w:hAnsi="Times New Roman" w:cs="Times New Roman"/>
          <w:kern w:val="0"/>
        </w:rPr>
        <w:t xml:space="preserve">affirmatively opt into </w:t>
      </w:r>
      <w:r w:rsidR="004350B3">
        <w:rPr>
          <w:rFonts w:ascii="Times New Roman" w:hAnsi="Times New Roman" w:cs="Times New Roman"/>
          <w:kern w:val="0"/>
        </w:rPr>
        <w:t>paper delivery</w:t>
      </w:r>
      <w:r w:rsidR="00951605">
        <w:rPr>
          <w:rFonts w:ascii="Times New Roman" w:hAnsi="Times New Roman" w:cs="Times New Roman"/>
          <w:kern w:val="0"/>
        </w:rPr>
        <w:t xml:space="preserve">, but </w:t>
      </w:r>
      <w:r w:rsidR="00CF6E53">
        <w:rPr>
          <w:rFonts w:ascii="Times New Roman" w:hAnsi="Times New Roman" w:cs="Times New Roman"/>
          <w:kern w:val="0"/>
        </w:rPr>
        <w:t xml:space="preserve">behavioral economics </w:t>
      </w:r>
      <w:r w:rsidR="00951605">
        <w:rPr>
          <w:rFonts w:ascii="Times New Roman" w:hAnsi="Times New Roman" w:cs="Times New Roman"/>
          <w:kern w:val="0"/>
        </w:rPr>
        <w:t>studies have shown that few participants will take such affirmative steps, even though studies have also shown most participants prefer paper disclosure.</w:t>
      </w:r>
      <w:r w:rsidR="00951605">
        <w:rPr>
          <w:rStyle w:val="FootnoteReference"/>
          <w:rFonts w:ascii="Times New Roman" w:hAnsi="Times New Roman" w:cs="Times New Roman"/>
          <w:kern w:val="0"/>
        </w:rPr>
        <w:footnoteReference w:id="3"/>
      </w:r>
    </w:p>
    <w:p w14:paraId="7C4DC7EC" w14:textId="0C129E30" w:rsidR="004350B3" w:rsidRDefault="004350B3" w:rsidP="004877DB">
      <w:pPr>
        <w:autoSpaceDE w:val="0"/>
        <w:autoSpaceDN w:val="0"/>
        <w:adjustRightInd w:val="0"/>
        <w:ind w:firstLine="720"/>
        <w:rPr>
          <w:rFonts w:ascii="Times New Roman" w:hAnsi="Times New Roman" w:cs="Times New Roman"/>
          <w:kern w:val="0"/>
        </w:rPr>
      </w:pPr>
      <w:r>
        <w:rPr>
          <w:rFonts w:ascii="Times New Roman" w:hAnsi="Times New Roman" w:cs="Times New Roman"/>
          <w:kern w:val="0"/>
        </w:rPr>
        <w:t xml:space="preserve">The Pension Rights Center and other consumer-oriented groups have criticized these safe harbors for two reasons: first, studies have demonstrated that </w:t>
      </w:r>
      <w:r w:rsidR="00951605">
        <w:rPr>
          <w:rFonts w:ascii="Times New Roman" w:hAnsi="Times New Roman" w:cs="Times New Roman"/>
          <w:kern w:val="0"/>
        </w:rPr>
        <w:t xml:space="preserve">paper disclosures are more likely to be read by participants and that participants who receive paper documents are more likely to retain them than if they receive </w:t>
      </w:r>
      <w:r w:rsidR="000B5B09">
        <w:rPr>
          <w:rFonts w:ascii="Times New Roman" w:hAnsi="Times New Roman" w:cs="Times New Roman"/>
          <w:kern w:val="0"/>
        </w:rPr>
        <w:t>the document as an</w:t>
      </w:r>
      <w:r w:rsidR="00951605">
        <w:rPr>
          <w:rFonts w:ascii="Times New Roman" w:hAnsi="Times New Roman" w:cs="Times New Roman"/>
          <w:kern w:val="0"/>
        </w:rPr>
        <w:t xml:space="preserve"> attachment </w:t>
      </w:r>
      <w:r w:rsidR="000B5B09">
        <w:rPr>
          <w:rFonts w:ascii="Times New Roman" w:hAnsi="Times New Roman" w:cs="Times New Roman"/>
          <w:kern w:val="0"/>
        </w:rPr>
        <w:t xml:space="preserve">to an email </w:t>
      </w:r>
      <w:r w:rsidR="00951605">
        <w:rPr>
          <w:rFonts w:ascii="Times New Roman" w:hAnsi="Times New Roman" w:cs="Times New Roman"/>
          <w:kern w:val="0"/>
        </w:rPr>
        <w:t xml:space="preserve">or, under the 2020 safe harbor, </w:t>
      </w:r>
      <w:r w:rsidR="000B5B09">
        <w:rPr>
          <w:rFonts w:ascii="Times New Roman" w:hAnsi="Times New Roman" w:cs="Times New Roman"/>
          <w:kern w:val="0"/>
        </w:rPr>
        <w:t xml:space="preserve">receive </w:t>
      </w:r>
      <w:r w:rsidR="00951605">
        <w:rPr>
          <w:rFonts w:ascii="Times New Roman" w:hAnsi="Times New Roman" w:cs="Times New Roman"/>
          <w:kern w:val="0"/>
        </w:rPr>
        <w:t xml:space="preserve">notice that they can </w:t>
      </w:r>
      <w:r w:rsidR="00CF6E53">
        <w:rPr>
          <w:rFonts w:ascii="Times New Roman" w:hAnsi="Times New Roman" w:cs="Times New Roman"/>
          <w:kern w:val="0"/>
        </w:rPr>
        <w:t xml:space="preserve">track down </w:t>
      </w:r>
      <w:r w:rsidR="00951605">
        <w:rPr>
          <w:rFonts w:ascii="Times New Roman" w:hAnsi="Times New Roman" w:cs="Times New Roman"/>
          <w:kern w:val="0"/>
        </w:rPr>
        <w:t>a document on a website.</w:t>
      </w:r>
      <w:r w:rsidR="00F113B5">
        <w:rPr>
          <w:rStyle w:val="FootnoteReference"/>
          <w:rFonts w:ascii="Times New Roman" w:hAnsi="Times New Roman" w:cs="Times New Roman"/>
          <w:kern w:val="0"/>
        </w:rPr>
        <w:footnoteReference w:id="4"/>
      </w:r>
      <w:r w:rsidR="004877DB">
        <w:rPr>
          <w:rFonts w:ascii="Times New Roman" w:hAnsi="Times New Roman" w:cs="Times New Roman"/>
          <w:kern w:val="0"/>
        </w:rPr>
        <w:t xml:space="preserve"> In addition, the notice-and-access method </w:t>
      </w:r>
      <w:r w:rsidR="00992211">
        <w:rPr>
          <w:rFonts w:ascii="Times New Roman" w:hAnsi="Times New Roman" w:cs="Times New Roman"/>
          <w:kern w:val="0"/>
        </w:rPr>
        <w:t>(rather than electronic delivery) further compromised the effectiveness of disclosure.</w:t>
      </w:r>
    </w:p>
    <w:p w14:paraId="6E4033A5" w14:textId="77BFFBAE" w:rsidR="00CE4405" w:rsidRDefault="00F113B5" w:rsidP="004877DB">
      <w:pPr>
        <w:autoSpaceDE w:val="0"/>
        <w:autoSpaceDN w:val="0"/>
        <w:adjustRightInd w:val="0"/>
        <w:ind w:firstLine="720"/>
        <w:rPr>
          <w:rFonts w:ascii="Times New Roman" w:hAnsi="Times New Roman" w:cs="Times New Roman"/>
          <w:kern w:val="0"/>
        </w:rPr>
      </w:pPr>
      <w:r>
        <w:rPr>
          <w:rFonts w:ascii="Times New Roman" w:hAnsi="Times New Roman" w:cs="Times New Roman"/>
          <w:kern w:val="0"/>
        </w:rPr>
        <w:t xml:space="preserve">Congress partly addressed these criticisms as part of the </w:t>
      </w:r>
      <w:r w:rsidR="007579DB">
        <w:rPr>
          <w:rFonts w:ascii="Times New Roman" w:hAnsi="Times New Roman" w:cs="Times New Roman"/>
        </w:rPr>
        <w:t>SECURE</w:t>
      </w:r>
      <w:r>
        <w:rPr>
          <w:rFonts w:ascii="Times New Roman" w:hAnsi="Times New Roman" w:cs="Times New Roman"/>
          <w:kern w:val="0"/>
        </w:rPr>
        <w:t xml:space="preserve"> 2.0 legislation. First, Section 338 provided that participants who are receiving electronic notice under the 2020 safe harbor will nevertheless </w:t>
      </w:r>
      <w:r w:rsidR="00CF6E53">
        <w:rPr>
          <w:rFonts w:ascii="Times New Roman" w:hAnsi="Times New Roman" w:cs="Times New Roman"/>
          <w:kern w:val="0"/>
        </w:rPr>
        <w:t xml:space="preserve">at least </w:t>
      </w:r>
      <w:r>
        <w:rPr>
          <w:rFonts w:ascii="Times New Roman" w:hAnsi="Times New Roman" w:cs="Times New Roman"/>
          <w:kern w:val="0"/>
        </w:rPr>
        <w:t xml:space="preserve">receive a paper copy of </w:t>
      </w:r>
      <w:r w:rsidR="00CF6E53">
        <w:rPr>
          <w:rFonts w:ascii="Times New Roman" w:hAnsi="Times New Roman" w:cs="Times New Roman"/>
          <w:kern w:val="0"/>
        </w:rPr>
        <w:t xml:space="preserve">mandated pension benefit statements: </w:t>
      </w:r>
      <w:r>
        <w:rPr>
          <w:rFonts w:ascii="Times New Roman" w:hAnsi="Times New Roman" w:cs="Times New Roman"/>
          <w:kern w:val="0"/>
        </w:rPr>
        <w:t>a</w:t>
      </w:r>
      <w:r w:rsidR="00CF6E53">
        <w:rPr>
          <w:rFonts w:ascii="Times New Roman" w:hAnsi="Times New Roman" w:cs="Times New Roman"/>
          <w:kern w:val="0"/>
        </w:rPr>
        <w:t>n</w:t>
      </w:r>
      <w:r>
        <w:rPr>
          <w:rFonts w:ascii="Times New Roman" w:hAnsi="Times New Roman" w:cs="Times New Roman"/>
          <w:kern w:val="0"/>
        </w:rPr>
        <w:t xml:space="preserve"> </w:t>
      </w:r>
      <w:r w:rsidR="00CF6E53">
        <w:rPr>
          <w:rFonts w:ascii="Times New Roman" w:hAnsi="Times New Roman" w:cs="Times New Roman"/>
          <w:kern w:val="0"/>
        </w:rPr>
        <w:t xml:space="preserve">annual </w:t>
      </w:r>
      <w:r>
        <w:rPr>
          <w:rFonts w:ascii="Times New Roman" w:hAnsi="Times New Roman" w:cs="Times New Roman"/>
          <w:kern w:val="0"/>
        </w:rPr>
        <w:t xml:space="preserve">benefit statement once each year in a defined contribution plan and once every </w:t>
      </w:r>
      <w:r w:rsidR="00CF6E53">
        <w:rPr>
          <w:rFonts w:ascii="Times New Roman" w:hAnsi="Times New Roman" w:cs="Times New Roman"/>
          <w:kern w:val="0"/>
        </w:rPr>
        <w:t xml:space="preserve">three </w:t>
      </w:r>
      <w:r>
        <w:rPr>
          <w:rFonts w:ascii="Times New Roman" w:hAnsi="Times New Roman" w:cs="Times New Roman"/>
          <w:kern w:val="0"/>
        </w:rPr>
        <w:t>year</w:t>
      </w:r>
      <w:r w:rsidR="00CF6E53">
        <w:rPr>
          <w:rFonts w:ascii="Times New Roman" w:hAnsi="Times New Roman" w:cs="Times New Roman"/>
          <w:kern w:val="0"/>
        </w:rPr>
        <w:t>s</w:t>
      </w:r>
      <w:r>
        <w:rPr>
          <w:rFonts w:ascii="Times New Roman" w:hAnsi="Times New Roman" w:cs="Times New Roman"/>
          <w:kern w:val="0"/>
        </w:rPr>
        <w:t xml:space="preserve"> in a defined benefit plan. </w:t>
      </w:r>
      <w:r w:rsidR="000E6FE0">
        <w:rPr>
          <w:rFonts w:ascii="Times New Roman" w:hAnsi="Times New Roman" w:cs="Times New Roman"/>
          <w:kern w:val="0"/>
        </w:rPr>
        <w:t xml:space="preserve">In addition, new participants who would be receiving electronic delivery under the 2002 safe harbor will receive electronic delivery of a benefit statement only if they </w:t>
      </w:r>
      <w:r w:rsidR="00CF6E53">
        <w:rPr>
          <w:rFonts w:ascii="Times New Roman" w:hAnsi="Times New Roman" w:cs="Times New Roman"/>
          <w:kern w:val="0"/>
        </w:rPr>
        <w:t xml:space="preserve">have first been </w:t>
      </w:r>
      <w:r w:rsidR="000E6FE0">
        <w:rPr>
          <w:rFonts w:ascii="Times New Roman" w:hAnsi="Times New Roman" w:cs="Times New Roman"/>
          <w:kern w:val="0"/>
        </w:rPr>
        <w:t xml:space="preserve">furnished with a </w:t>
      </w:r>
      <w:r w:rsidR="00CF6E53">
        <w:rPr>
          <w:rFonts w:ascii="Times New Roman" w:hAnsi="Times New Roman" w:cs="Times New Roman"/>
          <w:kern w:val="0"/>
        </w:rPr>
        <w:t xml:space="preserve">paper </w:t>
      </w:r>
      <w:r w:rsidR="000E6FE0">
        <w:rPr>
          <w:rFonts w:ascii="Times New Roman" w:hAnsi="Times New Roman" w:cs="Times New Roman"/>
          <w:kern w:val="0"/>
        </w:rPr>
        <w:t>notice informing them that they have a right to opt into paper delivery for all required disclosures under ERISA.</w:t>
      </w:r>
      <w:r w:rsidR="0092680D">
        <w:rPr>
          <w:rFonts w:ascii="Times New Roman" w:hAnsi="Times New Roman" w:cs="Times New Roman"/>
          <w:kern w:val="0"/>
        </w:rPr>
        <w:t xml:space="preserve">  </w:t>
      </w:r>
      <w:r w:rsidR="00D25BE5">
        <w:rPr>
          <w:rFonts w:ascii="Times New Roman" w:hAnsi="Times New Roman" w:cs="Times New Roman"/>
          <w:kern w:val="0"/>
        </w:rPr>
        <w:t xml:space="preserve">  </w:t>
      </w:r>
    </w:p>
    <w:p w14:paraId="6530ACF9" w14:textId="4C9EA915" w:rsidR="00D25BE5" w:rsidRDefault="007579DB" w:rsidP="006633B4">
      <w:pPr>
        <w:autoSpaceDE w:val="0"/>
        <w:autoSpaceDN w:val="0"/>
        <w:adjustRightInd w:val="0"/>
        <w:ind w:firstLine="360"/>
        <w:rPr>
          <w:rFonts w:ascii="Times New Roman" w:hAnsi="Times New Roman" w:cs="Times New Roman"/>
          <w:kern w:val="0"/>
        </w:rPr>
      </w:pPr>
      <w:r>
        <w:rPr>
          <w:rFonts w:ascii="Times New Roman" w:hAnsi="Times New Roman" w:cs="Times New Roman"/>
        </w:rPr>
        <w:t>SECURE</w:t>
      </w:r>
      <w:r w:rsidR="00D25BE5">
        <w:rPr>
          <w:rFonts w:ascii="Times New Roman" w:hAnsi="Times New Roman" w:cs="Times New Roman"/>
          <w:kern w:val="0"/>
        </w:rPr>
        <w:t xml:space="preserve"> 2.0 also included a provision that </w:t>
      </w:r>
      <w:r w:rsidR="003048F5">
        <w:rPr>
          <w:rFonts w:ascii="Times New Roman" w:hAnsi="Times New Roman" w:cs="Times New Roman"/>
          <w:kern w:val="0"/>
        </w:rPr>
        <w:t xml:space="preserve">mandated </w:t>
      </w:r>
      <w:r w:rsidR="00D25BE5">
        <w:rPr>
          <w:rFonts w:ascii="Times New Roman" w:hAnsi="Times New Roman" w:cs="Times New Roman"/>
          <w:kern w:val="0"/>
        </w:rPr>
        <w:t xml:space="preserve">that by </w:t>
      </w:r>
      <w:r w:rsidR="00A954CF">
        <w:rPr>
          <w:rFonts w:ascii="Times New Roman" w:hAnsi="Times New Roman" w:cs="Times New Roman"/>
          <w:kern w:val="0"/>
        </w:rPr>
        <w:t xml:space="preserve">December 29, 2025, the federal agencies responsible for the enforcement of ERISA shall submit a report to Congress on disclosure, including “the effectiveness of the applicable reporting and disclosure requirements,” which </w:t>
      </w:r>
      <w:r w:rsidR="003048F5">
        <w:rPr>
          <w:rFonts w:ascii="Times New Roman" w:hAnsi="Times New Roman" w:cs="Times New Roman"/>
          <w:kern w:val="0"/>
        </w:rPr>
        <w:t xml:space="preserve">was to be based on appropriate surveys, data collection, and </w:t>
      </w:r>
      <w:r w:rsidR="00A954CF">
        <w:rPr>
          <w:rFonts w:ascii="Times New Roman" w:hAnsi="Times New Roman" w:cs="Times New Roman"/>
          <w:kern w:val="0"/>
        </w:rPr>
        <w:t xml:space="preserve">analysis </w:t>
      </w:r>
      <w:r w:rsidR="003048F5">
        <w:rPr>
          <w:rFonts w:ascii="Times New Roman" w:hAnsi="Times New Roman" w:cs="Times New Roman"/>
          <w:kern w:val="0"/>
        </w:rPr>
        <w:t>on</w:t>
      </w:r>
      <w:r w:rsidR="00A954CF">
        <w:rPr>
          <w:rFonts w:ascii="Times New Roman" w:hAnsi="Times New Roman" w:cs="Times New Roman"/>
          <w:kern w:val="0"/>
        </w:rPr>
        <w:t xml:space="preserve"> “the rate at which participants and beneficiaries are receiving, </w:t>
      </w:r>
      <w:r w:rsidR="00A954CF" w:rsidRPr="006633B4">
        <w:rPr>
          <w:rFonts w:ascii="Times New Roman" w:hAnsi="Times New Roman" w:cs="Times New Roman"/>
          <w:i/>
          <w:iCs/>
          <w:kern w:val="0"/>
        </w:rPr>
        <w:t>accessing, understanding and retaining</w:t>
      </w:r>
      <w:r w:rsidR="00A954CF">
        <w:rPr>
          <w:rFonts w:ascii="Times New Roman" w:hAnsi="Times New Roman" w:cs="Times New Roman"/>
          <w:kern w:val="0"/>
        </w:rPr>
        <w:t xml:space="preserve"> disclosures.”</w:t>
      </w:r>
      <w:r w:rsidR="00A954CF">
        <w:rPr>
          <w:rStyle w:val="FootnoteReference"/>
          <w:rFonts w:ascii="Times New Roman" w:hAnsi="Times New Roman" w:cs="Times New Roman"/>
          <w:kern w:val="0"/>
        </w:rPr>
        <w:footnoteReference w:id="5"/>
      </w:r>
      <w:r w:rsidR="00A954CF">
        <w:rPr>
          <w:rFonts w:ascii="Times New Roman" w:hAnsi="Times New Roman" w:cs="Times New Roman"/>
          <w:kern w:val="0"/>
        </w:rPr>
        <w:t xml:space="preserve"> The report is to include “consultation with a balanced group of participant and employer representatives.”</w:t>
      </w:r>
      <w:r w:rsidR="00A954CF">
        <w:rPr>
          <w:rStyle w:val="FootnoteReference"/>
          <w:rFonts w:ascii="Times New Roman" w:hAnsi="Times New Roman" w:cs="Times New Roman"/>
          <w:kern w:val="0"/>
        </w:rPr>
        <w:footnoteReference w:id="6"/>
      </w:r>
      <w:r w:rsidR="00A954CF">
        <w:rPr>
          <w:rFonts w:ascii="Times New Roman" w:hAnsi="Times New Roman" w:cs="Times New Roman"/>
          <w:kern w:val="0"/>
        </w:rPr>
        <w:t xml:space="preserve"> The report has not yet been </w:t>
      </w:r>
      <w:r w:rsidR="00115BE2">
        <w:rPr>
          <w:rFonts w:ascii="Times New Roman" w:hAnsi="Times New Roman" w:cs="Times New Roman"/>
          <w:kern w:val="0"/>
        </w:rPr>
        <w:t xml:space="preserve">released. </w:t>
      </w:r>
    </w:p>
    <w:p w14:paraId="68865756" w14:textId="77777777" w:rsidR="002618C1" w:rsidRDefault="002618C1" w:rsidP="002618C1">
      <w:pPr>
        <w:autoSpaceDE w:val="0"/>
        <w:autoSpaceDN w:val="0"/>
        <w:adjustRightInd w:val="0"/>
        <w:rPr>
          <w:rFonts w:ascii="Times New Roman" w:hAnsi="Times New Roman" w:cs="Times New Roman"/>
          <w:kern w:val="0"/>
        </w:rPr>
      </w:pPr>
    </w:p>
    <w:p w14:paraId="70DED043" w14:textId="77777777" w:rsidR="002618C1" w:rsidRDefault="002618C1" w:rsidP="002618C1">
      <w:pPr>
        <w:autoSpaceDE w:val="0"/>
        <w:autoSpaceDN w:val="0"/>
        <w:adjustRightInd w:val="0"/>
        <w:rPr>
          <w:rFonts w:ascii="Times New Roman" w:hAnsi="Times New Roman" w:cs="Times New Roman"/>
          <w:kern w:val="0"/>
        </w:rPr>
      </w:pPr>
    </w:p>
    <w:p w14:paraId="31305B19" w14:textId="064E63A5" w:rsidR="00B345FE" w:rsidRPr="00B67566" w:rsidRDefault="00DB55C9" w:rsidP="00B67566">
      <w:pPr>
        <w:pStyle w:val="ListParagraph"/>
        <w:numPr>
          <w:ilvl w:val="0"/>
          <w:numId w:val="1"/>
        </w:numPr>
        <w:autoSpaceDE w:val="0"/>
        <w:autoSpaceDN w:val="0"/>
        <w:adjustRightInd w:val="0"/>
        <w:rPr>
          <w:rFonts w:ascii="Times New Roman" w:hAnsi="Times New Roman" w:cs="Times New Roman"/>
          <w:b/>
          <w:bCs/>
          <w:kern w:val="0"/>
        </w:rPr>
      </w:pPr>
      <w:r>
        <w:rPr>
          <w:rFonts w:ascii="Times New Roman" w:hAnsi="Times New Roman" w:cs="Times New Roman"/>
          <w:kern w:val="0"/>
        </w:rPr>
        <w:t xml:space="preserve"> </w:t>
      </w:r>
      <w:r w:rsidR="00B345FE" w:rsidRPr="00B67566">
        <w:rPr>
          <w:rFonts w:ascii="Times New Roman" w:hAnsi="Times New Roman" w:cs="Times New Roman"/>
          <w:b/>
          <w:bCs/>
          <w:kern w:val="0"/>
        </w:rPr>
        <w:t xml:space="preserve">Specific </w:t>
      </w:r>
      <w:r w:rsidRPr="00B67566">
        <w:rPr>
          <w:rFonts w:ascii="Times New Roman" w:hAnsi="Times New Roman" w:cs="Times New Roman"/>
          <w:b/>
          <w:bCs/>
          <w:kern w:val="0"/>
        </w:rPr>
        <w:t xml:space="preserve">Comments on </w:t>
      </w:r>
      <w:r w:rsidR="00B345FE" w:rsidRPr="00B67566">
        <w:rPr>
          <w:rFonts w:ascii="Times New Roman" w:hAnsi="Times New Roman" w:cs="Times New Roman"/>
          <w:b/>
          <w:bCs/>
          <w:kern w:val="0"/>
        </w:rPr>
        <w:t>RIN 1210-AC27</w:t>
      </w:r>
      <w:r w:rsidR="00B67566" w:rsidRPr="00B67566">
        <w:rPr>
          <w:rFonts w:ascii="Times New Roman" w:hAnsi="Times New Roman" w:cs="Times New Roman"/>
          <w:b/>
          <w:bCs/>
          <w:kern w:val="0"/>
        </w:rPr>
        <w:t>’s Modifications to 2002 Safe Habor</w:t>
      </w:r>
      <w:r w:rsidR="00FD3E3A" w:rsidRPr="00B67566">
        <w:rPr>
          <w:rFonts w:ascii="Times New Roman" w:hAnsi="Times New Roman" w:cs="Times New Roman"/>
          <w:b/>
          <w:bCs/>
          <w:kern w:val="0"/>
        </w:rPr>
        <w:t xml:space="preserve"> </w:t>
      </w:r>
    </w:p>
    <w:p w14:paraId="5AAE3407" w14:textId="77777777" w:rsidR="00B67566" w:rsidRPr="00B67566" w:rsidRDefault="00B67566" w:rsidP="00B67566">
      <w:pPr>
        <w:pStyle w:val="ListParagraph"/>
        <w:autoSpaceDE w:val="0"/>
        <w:autoSpaceDN w:val="0"/>
        <w:adjustRightInd w:val="0"/>
        <w:rPr>
          <w:rFonts w:ascii="Times New Roman" w:hAnsi="Times New Roman" w:cs="Times New Roman"/>
          <w:b/>
          <w:bCs/>
          <w:kern w:val="0"/>
        </w:rPr>
      </w:pPr>
    </w:p>
    <w:p w14:paraId="1C304E74" w14:textId="3D183054" w:rsidR="00B345FE" w:rsidRPr="00B67566" w:rsidRDefault="004877DB" w:rsidP="00B67566">
      <w:pPr>
        <w:pStyle w:val="ListParagraph"/>
        <w:numPr>
          <w:ilvl w:val="0"/>
          <w:numId w:val="2"/>
        </w:numPr>
        <w:autoSpaceDE w:val="0"/>
        <w:autoSpaceDN w:val="0"/>
        <w:adjustRightInd w:val="0"/>
        <w:rPr>
          <w:rFonts w:ascii="Times New Roman" w:hAnsi="Times New Roman" w:cs="Times New Roman"/>
          <w:kern w:val="0"/>
        </w:rPr>
      </w:pPr>
      <w:r>
        <w:rPr>
          <w:rFonts w:ascii="Times New Roman" w:hAnsi="Times New Roman" w:cs="Times New Roman"/>
          <w:kern w:val="0"/>
        </w:rPr>
        <w:t xml:space="preserve"> </w:t>
      </w:r>
      <w:r w:rsidRPr="00B67566">
        <w:rPr>
          <w:rFonts w:ascii="Times New Roman" w:hAnsi="Times New Roman" w:cs="Times New Roman"/>
          <w:kern w:val="0"/>
        </w:rPr>
        <w:t>Statement of Rights to Request Paper Disclosure</w:t>
      </w:r>
      <w:r w:rsidR="001E609D" w:rsidRPr="00B67566">
        <w:rPr>
          <w:rFonts w:ascii="Times New Roman" w:hAnsi="Times New Roman" w:cs="Times New Roman"/>
          <w:kern w:val="0"/>
        </w:rPr>
        <w:t>--(c)(1)(iv) of the Proposal.</w:t>
      </w:r>
    </w:p>
    <w:p w14:paraId="74B4BCBC" w14:textId="47F8D55A" w:rsidR="00786097" w:rsidRDefault="001E609D" w:rsidP="00A5074C">
      <w:pPr>
        <w:pStyle w:val="ListParagraph"/>
        <w:autoSpaceDE w:val="0"/>
        <w:autoSpaceDN w:val="0"/>
        <w:adjustRightInd w:val="0"/>
        <w:ind w:left="0" w:firstLine="720"/>
        <w:rPr>
          <w:rFonts w:ascii="Times New Roman" w:hAnsi="Times New Roman" w:cs="Times New Roman"/>
          <w:kern w:val="0"/>
        </w:rPr>
      </w:pPr>
      <w:r>
        <w:rPr>
          <w:rFonts w:ascii="Times New Roman" w:hAnsi="Times New Roman" w:cs="Times New Roman"/>
          <w:kern w:val="0"/>
        </w:rPr>
        <w:t xml:space="preserve">Section 338(b)(1) of </w:t>
      </w:r>
      <w:r w:rsidR="007579DB">
        <w:rPr>
          <w:rFonts w:ascii="Times New Roman" w:hAnsi="Times New Roman" w:cs="Times New Roman"/>
        </w:rPr>
        <w:t>SECURE</w:t>
      </w:r>
      <w:r w:rsidR="007579DB">
        <w:rPr>
          <w:rFonts w:ascii="Times New Roman" w:hAnsi="Times New Roman" w:cs="Times New Roman"/>
          <w:kern w:val="0"/>
        </w:rPr>
        <w:t xml:space="preserve"> </w:t>
      </w:r>
      <w:r>
        <w:rPr>
          <w:rFonts w:ascii="Times New Roman" w:hAnsi="Times New Roman" w:cs="Times New Roman"/>
          <w:kern w:val="0"/>
        </w:rPr>
        <w:t xml:space="preserve">2.0 provides that </w:t>
      </w:r>
      <w:r w:rsidR="000C1FF0">
        <w:rPr>
          <w:rFonts w:ascii="Times New Roman" w:hAnsi="Times New Roman" w:cs="Times New Roman"/>
          <w:kern w:val="0"/>
        </w:rPr>
        <w:t xml:space="preserve">the 2002 safe harbor must be modified to provide that </w:t>
      </w:r>
      <w:r>
        <w:rPr>
          <w:rFonts w:ascii="Times New Roman" w:hAnsi="Times New Roman" w:cs="Times New Roman"/>
          <w:kern w:val="0"/>
        </w:rPr>
        <w:t xml:space="preserve">a plan may furnish </w:t>
      </w:r>
      <w:r w:rsidR="00D40A72">
        <w:rPr>
          <w:rFonts w:ascii="Times New Roman" w:hAnsi="Times New Roman" w:cs="Times New Roman"/>
          <w:kern w:val="0"/>
        </w:rPr>
        <w:t>periodic ERISA-mandated</w:t>
      </w:r>
      <w:r>
        <w:rPr>
          <w:rFonts w:ascii="Times New Roman" w:hAnsi="Times New Roman" w:cs="Times New Roman"/>
          <w:kern w:val="0"/>
        </w:rPr>
        <w:t xml:space="preserve"> benefit</w:t>
      </w:r>
      <w:r w:rsidR="000C1FF0">
        <w:rPr>
          <w:rFonts w:ascii="Times New Roman" w:hAnsi="Times New Roman" w:cs="Times New Roman"/>
          <w:kern w:val="0"/>
        </w:rPr>
        <w:t xml:space="preserve"> statements electronically only if it first distributes a </w:t>
      </w:r>
      <w:r w:rsidR="00D40A72">
        <w:rPr>
          <w:rFonts w:ascii="Times New Roman" w:hAnsi="Times New Roman" w:cs="Times New Roman"/>
          <w:kern w:val="0"/>
        </w:rPr>
        <w:t xml:space="preserve">one-time paper </w:t>
      </w:r>
      <w:r w:rsidR="000C1FF0">
        <w:rPr>
          <w:rFonts w:ascii="Times New Roman" w:hAnsi="Times New Roman" w:cs="Times New Roman"/>
          <w:kern w:val="0"/>
        </w:rPr>
        <w:t xml:space="preserve">notice to new employees covered by the safe harbor that they have a right to globally elect </w:t>
      </w:r>
      <w:proofErr w:type="gramStart"/>
      <w:r w:rsidR="000C1FF0">
        <w:rPr>
          <w:rFonts w:ascii="Times New Roman" w:hAnsi="Times New Roman" w:cs="Times New Roman"/>
          <w:kern w:val="0"/>
        </w:rPr>
        <w:t>into</w:t>
      </w:r>
      <w:proofErr w:type="gramEnd"/>
      <w:r w:rsidR="000C1FF0">
        <w:rPr>
          <w:rFonts w:ascii="Times New Roman" w:hAnsi="Times New Roman" w:cs="Times New Roman"/>
          <w:kern w:val="0"/>
        </w:rPr>
        <w:t xml:space="preserve"> paper disclosure. For wired-at-work employees, this right of the ability to globally opt</w:t>
      </w:r>
      <w:r w:rsidR="006633B4">
        <w:rPr>
          <w:rFonts w:ascii="Times New Roman" w:hAnsi="Times New Roman" w:cs="Times New Roman"/>
          <w:kern w:val="0"/>
        </w:rPr>
        <w:t xml:space="preserve">-in </w:t>
      </w:r>
      <w:r w:rsidR="000C1FF0">
        <w:rPr>
          <w:rFonts w:ascii="Times New Roman" w:hAnsi="Times New Roman" w:cs="Times New Roman"/>
          <w:kern w:val="0"/>
        </w:rPr>
        <w:t>to paper disclosure is a new and important right</w:t>
      </w:r>
    </w:p>
    <w:p w14:paraId="6B0E4FB5" w14:textId="77777777" w:rsidR="00786097" w:rsidRDefault="00786097" w:rsidP="001E609D">
      <w:pPr>
        <w:pStyle w:val="ListParagraph"/>
        <w:autoSpaceDE w:val="0"/>
        <w:autoSpaceDN w:val="0"/>
        <w:adjustRightInd w:val="0"/>
        <w:ind w:left="0" w:firstLine="720"/>
        <w:rPr>
          <w:rFonts w:ascii="Times New Roman" w:hAnsi="Times New Roman" w:cs="Times New Roman"/>
          <w:kern w:val="0"/>
        </w:rPr>
      </w:pPr>
    </w:p>
    <w:p w14:paraId="29C89242" w14:textId="74C7527A" w:rsidR="005F2071" w:rsidRDefault="00786097" w:rsidP="001E609D">
      <w:pPr>
        <w:pStyle w:val="ListParagraph"/>
        <w:autoSpaceDE w:val="0"/>
        <w:autoSpaceDN w:val="0"/>
        <w:adjustRightInd w:val="0"/>
        <w:ind w:left="0" w:firstLine="720"/>
        <w:rPr>
          <w:rFonts w:ascii="Times New Roman" w:hAnsi="Times New Roman" w:cs="Times New Roman"/>
          <w:kern w:val="0"/>
        </w:rPr>
      </w:pPr>
      <w:r>
        <w:rPr>
          <w:rFonts w:ascii="Times New Roman" w:hAnsi="Times New Roman" w:cs="Times New Roman"/>
          <w:kern w:val="0"/>
        </w:rPr>
        <w:t>The Department’s proposed revision of the 2002 safe harbor, however, would allow an employer to avoid providing this</w:t>
      </w:r>
      <w:r w:rsidR="00400680">
        <w:rPr>
          <w:rFonts w:ascii="Times New Roman" w:hAnsi="Times New Roman" w:cs="Times New Roman"/>
          <w:kern w:val="0"/>
        </w:rPr>
        <w:t xml:space="preserve"> new</w:t>
      </w:r>
      <w:r>
        <w:rPr>
          <w:rFonts w:ascii="Times New Roman" w:hAnsi="Times New Roman" w:cs="Times New Roman"/>
          <w:kern w:val="0"/>
        </w:rPr>
        <w:t xml:space="preserve"> </w:t>
      </w:r>
      <w:r w:rsidR="00400680">
        <w:rPr>
          <w:rFonts w:ascii="Times New Roman" w:hAnsi="Times New Roman" w:cs="Times New Roman"/>
          <w:kern w:val="0"/>
        </w:rPr>
        <w:t xml:space="preserve">initial </w:t>
      </w:r>
      <w:r>
        <w:rPr>
          <w:rFonts w:ascii="Times New Roman" w:hAnsi="Times New Roman" w:cs="Times New Roman"/>
          <w:kern w:val="0"/>
        </w:rPr>
        <w:t>notice of the right to opt</w:t>
      </w:r>
      <w:r w:rsidR="006633B4">
        <w:rPr>
          <w:rFonts w:ascii="Times New Roman" w:hAnsi="Times New Roman" w:cs="Times New Roman"/>
          <w:kern w:val="0"/>
        </w:rPr>
        <w:t xml:space="preserve">-in </w:t>
      </w:r>
      <w:r>
        <w:rPr>
          <w:rFonts w:ascii="Times New Roman" w:hAnsi="Times New Roman" w:cs="Times New Roman"/>
          <w:kern w:val="0"/>
        </w:rPr>
        <w:t xml:space="preserve">to future global paper delivery by providing </w:t>
      </w:r>
      <w:r w:rsidR="00400680">
        <w:rPr>
          <w:rFonts w:ascii="Times New Roman" w:hAnsi="Times New Roman" w:cs="Times New Roman"/>
          <w:kern w:val="0"/>
        </w:rPr>
        <w:t xml:space="preserve">periodic </w:t>
      </w:r>
      <w:r>
        <w:rPr>
          <w:rFonts w:ascii="Times New Roman" w:hAnsi="Times New Roman" w:cs="Times New Roman"/>
          <w:kern w:val="0"/>
        </w:rPr>
        <w:t>benefit statements</w:t>
      </w:r>
      <w:r w:rsidR="00400680">
        <w:rPr>
          <w:rFonts w:ascii="Times New Roman" w:hAnsi="Times New Roman" w:cs="Times New Roman"/>
          <w:kern w:val="0"/>
        </w:rPr>
        <w:t xml:space="preserve"> on paper</w:t>
      </w:r>
      <w:r>
        <w:rPr>
          <w:rFonts w:ascii="Times New Roman" w:hAnsi="Times New Roman" w:cs="Times New Roman"/>
          <w:kern w:val="0"/>
        </w:rPr>
        <w:t xml:space="preserve">. This would diminish </w:t>
      </w:r>
      <w:r w:rsidR="005F2071">
        <w:rPr>
          <w:rFonts w:ascii="Times New Roman" w:hAnsi="Times New Roman" w:cs="Times New Roman"/>
          <w:kern w:val="0"/>
        </w:rPr>
        <w:t xml:space="preserve">the now </w:t>
      </w:r>
      <w:r w:rsidR="006633B4">
        <w:rPr>
          <w:rFonts w:ascii="Times New Roman" w:hAnsi="Times New Roman" w:cs="Times New Roman"/>
          <w:kern w:val="0"/>
        </w:rPr>
        <w:t>Congressionally mandated participant</w:t>
      </w:r>
      <w:r w:rsidR="005F2071">
        <w:rPr>
          <w:rFonts w:ascii="Times New Roman" w:hAnsi="Times New Roman" w:cs="Times New Roman"/>
          <w:kern w:val="0"/>
        </w:rPr>
        <w:t xml:space="preserve"> right to globally opt</w:t>
      </w:r>
      <w:r w:rsidR="00400680">
        <w:rPr>
          <w:rFonts w:ascii="Times New Roman" w:hAnsi="Times New Roman" w:cs="Times New Roman"/>
          <w:kern w:val="0"/>
        </w:rPr>
        <w:t xml:space="preserve"> for</w:t>
      </w:r>
      <w:r w:rsidR="005F2071">
        <w:rPr>
          <w:rFonts w:ascii="Times New Roman" w:hAnsi="Times New Roman" w:cs="Times New Roman"/>
          <w:kern w:val="0"/>
        </w:rPr>
        <w:t xml:space="preserve"> paper disclosure</w:t>
      </w:r>
      <w:r>
        <w:rPr>
          <w:rFonts w:ascii="Times New Roman" w:hAnsi="Times New Roman" w:cs="Times New Roman"/>
          <w:kern w:val="0"/>
        </w:rPr>
        <w:t xml:space="preserve"> </w:t>
      </w:r>
      <w:r w:rsidR="005F2071">
        <w:rPr>
          <w:rFonts w:ascii="Times New Roman" w:hAnsi="Times New Roman" w:cs="Times New Roman"/>
          <w:kern w:val="0"/>
        </w:rPr>
        <w:t>(at least for new employees) under</w:t>
      </w:r>
      <w:r>
        <w:rPr>
          <w:rFonts w:ascii="Times New Roman" w:hAnsi="Times New Roman" w:cs="Times New Roman"/>
          <w:kern w:val="0"/>
        </w:rPr>
        <w:t xml:space="preserve"> the 2002 safe-harbor.  </w:t>
      </w:r>
    </w:p>
    <w:p w14:paraId="7625F6A3" w14:textId="77777777" w:rsidR="005F2071" w:rsidRDefault="005F2071" w:rsidP="001E609D">
      <w:pPr>
        <w:pStyle w:val="ListParagraph"/>
        <w:autoSpaceDE w:val="0"/>
        <w:autoSpaceDN w:val="0"/>
        <w:adjustRightInd w:val="0"/>
        <w:ind w:left="0" w:firstLine="720"/>
        <w:rPr>
          <w:rFonts w:ascii="Times New Roman" w:hAnsi="Times New Roman" w:cs="Times New Roman"/>
          <w:kern w:val="0"/>
        </w:rPr>
      </w:pPr>
    </w:p>
    <w:p w14:paraId="0448603A" w14:textId="010AFDF1" w:rsidR="004877DB" w:rsidRPr="00343BE6" w:rsidRDefault="00690DCF" w:rsidP="00690DCF">
      <w:pPr>
        <w:pStyle w:val="ListParagraph"/>
        <w:numPr>
          <w:ilvl w:val="0"/>
          <w:numId w:val="2"/>
        </w:numPr>
        <w:autoSpaceDE w:val="0"/>
        <w:autoSpaceDN w:val="0"/>
        <w:adjustRightInd w:val="0"/>
        <w:rPr>
          <w:rFonts w:ascii="Times New Roman" w:hAnsi="Times New Roman" w:cs="Times New Roman"/>
          <w:kern w:val="0"/>
        </w:rPr>
      </w:pPr>
      <w:r w:rsidRPr="00343BE6">
        <w:rPr>
          <w:rFonts w:ascii="Times New Roman" w:hAnsi="Times New Roman" w:cs="Times New Roman"/>
          <w:kern w:val="0"/>
        </w:rPr>
        <w:t xml:space="preserve">The New </w:t>
      </w:r>
      <w:r w:rsidR="007579DB">
        <w:rPr>
          <w:rFonts w:ascii="Times New Roman" w:hAnsi="Times New Roman" w:cs="Times New Roman"/>
        </w:rPr>
        <w:t>SECURE</w:t>
      </w:r>
      <w:r w:rsidRPr="00343BE6">
        <w:rPr>
          <w:rFonts w:ascii="Times New Roman" w:hAnsi="Times New Roman" w:cs="Times New Roman"/>
          <w:kern w:val="0"/>
        </w:rPr>
        <w:t xml:space="preserve"> 2.0 Global Opt-Out Notice is Different than the Existing </w:t>
      </w:r>
      <w:r w:rsidR="00343BE6">
        <w:rPr>
          <w:rFonts w:ascii="Times New Roman" w:hAnsi="Times New Roman" w:cs="Times New Roman"/>
          <w:kern w:val="0"/>
        </w:rPr>
        <w:t xml:space="preserve">Safe-Harbor </w:t>
      </w:r>
      <w:r w:rsidRPr="00343BE6">
        <w:rPr>
          <w:rFonts w:ascii="Times New Roman" w:hAnsi="Times New Roman" w:cs="Times New Roman"/>
          <w:kern w:val="0"/>
        </w:rPr>
        <w:t xml:space="preserve">Notice </w:t>
      </w:r>
      <w:r w:rsidR="00343BE6">
        <w:rPr>
          <w:rFonts w:ascii="Times New Roman" w:hAnsi="Times New Roman" w:cs="Times New Roman"/>
          <w:kern w:val="0"/>
        </w:rPr>
        <w:t xml:space="preserve">for </w:t>
      </w:r>
      <w:r w:rsidR="00400680">
        <w:rPr>
          <w:rFonts w:ascii="Times New Roman" w:hAnsi="Times New Roman" w:cs="Times New Roman"/>
          <w:kern w:val="0"/>
        </w:rPr>
        <w:t xml:space="preserve">Consenting </w:t>
      </w:r>
      <w:r w:rsidR="00343BE6">
        <w:rPr>
          <w:rFonts w:ascii="Times New Roman" w:hAnsi="Times New Roman" w:cs="Times New Roman"/>
          <w:kern w:val="0"/>
        </w:rPr>
        <w:t>Participants</w:t>
      </w:r>
    </w:p>
    <w:p w14:paraId="78382B9E" w14:textId="31A0B59C" w:rsidR="00690DCF" w:rsidRPr="00343BE6" w:rsidRDefault="00690DCF" w:rsidP="00343BE6">
      <w:pPr>
        <w:ind w:firstLine="720"/>
        <w:rPr>
          <w:rFonts w:ascii="Times New Roman" w:hAnsi="Times New Roman" w:cs="Times New Roman"/>
        </w:rPr>
      </w:pPr>
      <w:r w:rsidRPr="00343BE6">
        <w:rPr>
          <w:rFonts w:ascii="Times New Roman" w:hAnsi="Times New Roman" w:cs="Times New Roman"/>
        </w:rPr>
        <w:t xml:space="preserve">The </w:t>
      </w:r>
      <w:r w:rsidR="00343BE6" w:rsidRPr="00343BE6">
        <w:rPr>
          <w:rFonts w:ascii="Times New Roman" w:hAnsi="Times New Roman" w:cs="Times New Roman"/>
        </w:rPr>
        <w:t xml:space="preserve">DOL </w:t>
      </w:r>
      <w:r w:rsidRPr="00343BE6">
        <w:rPr>
          <w:rFonts w:ascii="Times New Roman" w:hAnsi="Times New Roman" w:cs="Times New Roman"/>
        </w:rPr>
        <w:t xml:space="preserve">proposal provides that plans that utilize the 2002 safe harbor </w:t>
      </w:r>
      <w:r w:rsidR="00343BE6" w:rsidRPr="00343BE6">
        <w:rPr>
          <w:rFonts w:ascii="Times New Roman" w:hAnsi="Times New Roman" w:cs="Times New Roman"/>
        </w:rPr>
        <w:t>may</w:t>
      </w:r>
      <w:r w:rsidRPr="00343BE6">
        <w:rPr>
          <w:rFonts w:ascii="Times New Roman" w:hAnsi="Times New Roman" w:cs="Times New Roman"/>
        </w:rPr>
        <w:t xml:space="preserve"> skip provision of the new initial paper opt-out notice if they provide a paper version of the notice that plans must </w:t>
      </w:r>
      <w:r w:rsidR="00343BE6" w:rsidRPr="00343BE6">
        <w:rPr>
          <w:rFonts w:ascii="Times New Roman" w:hAnsi="Times New Roman" w:cs="Times New Roman"/>
        </w:rPr>
        <w:t xml:space="preserve">currently </w:t>
      </w:r>
      <w:r w:rsidRPr="00343BE6">
        <w:rPr>
          <w:rFonts w:ascii="Times New Roman" w:hAnsi="Times New Roman" w:cs="Times New Roman"/>
        </w:rPr>
        <w:t xml:space="preserve">provide under 2520.104(b)-1(c)(2)(ii)(C) </w:t>
      </w:r>
      <w:r w:rsidR="00343BE6" w:rsidRPr="00343BE6">
        <w:rPr>
          <w:rFonts w:ascii="Times New Roman" w:hAnsi="Times New Roman" w:cs="Times New Roman"/>
        </w:rPr>
        <w:t>for</w:t>
      </w:r>
      <w:r w:rsidRPr="00343BE6">
        <w:rPr>
          <w:rFonts w:ascii="Times New Roman" w:hAnsi="Times New Roman" w:cs="Times New Roman"/>
        </w:rPr>
        <w:t xml:space="preserve"> </w:t>
      </w:r>
      <w:r w:rsidR="00116FCF">
        <w:rPr>
          <w:rFonts w:ascii="Times New Roman" w:hAnsi="Times New Roman" w:cs="Times New Roman"/>
        </w:rPr>
        <w:t xml:space="preserve">a </w:t>
      </w:r>
      <w:r w:rsidRPr="00343BE6">
        <w:rPr>
          <w:rFonts w:ascii="Times New Roman" w:hAnsi="Times New Roman" w:cs="Times New Roman"/>
        </w:rPr>
        <w:t>participant</w:t>
      </w:r>
      <w:r w:rsidR="00343BE6" w:rsidRPr="00343BE6">
        <w:rPr>
          <w:rFonts w:ascii="Times New Roman" w:hAnsi="Times New Roman" w:cs="Times New Roman"/>
        </w:rPr>
        <w:t xml:space="preserve"> or </w:t>
      </w:r>
      <w:r w:rsidRPr="00343BE6">
        <w:rPr>
          <w:rFonts w:ascii="Times New Roman" w:hAnsi="Times New Roman" w:cs="Times New Roman"/>
        </w:rPr>
        <w:t>beneficiar</w:t>
      </w:r>
      <w:r w:rsidR="00343BE6" w:rsidRPr="00343BE6">
        <w:rPr>
          <w:rFonts w:ascii="Times New Roman" w:hAnsi="Times New Roman" w:cs="Times New Roman"/>
        </w:rPr>
        <w:t>y who</w:t>
      </w:r>
      <w:r w:rsidRPr="00343BE6">
        <w:rPr>
          <w:rFonts w:ascii="Times New Roman" w:hAnsi="Times New Roman" w:cs="Times New Roman"/>
        </w:rPr>
        <w:t xml:space="preserve"> </w:t>
      </w:r>
      <w:r w:rsidRPr="00343BE6">
        <w:rPr>
          <w:rFonts w:ascii="Times New Roman" w:hAnsi="Times New Roman" w:cs="Times New Roman"/>
          <w:i/>
          <w:iCs/>
        </w:rPr>
        <w:t>affirmatively consents</w:t>
      </w:r>
      <w:r w:rsidRPr="00343BE6">
        <w:rPr>
          <w:rFonts w:ascii="Times New Roman" w:hAnsi="Times New Roman" w:cs="Times New Roman"/>
        </w:rPr>
        <w:t xml:space="preserve"> to receive disclosures electronically (what DOL calls the “existing advance statement). According to DOL, the new loophole is needed to “coordinate” the two notice provisions and avoid duplicative notices. </w:t>
      </w:r>
    </w:p>
    <w:p w14:paraId="1DEE5751" w14:textId="01EFBD7D" w:rsidR="00690DCF" w:rsidRPr="00343BE6" w:rsidRDefault="00690DCF" w:rsidP="00343BE6">
      <w:pPr>
        <w:ind w:firstLine="720"/>
        <w:rPr>
          <w:rFonts w:ascii="Times New Roman" w:hAnsi="Times New Roman" w:cs="Times New Roman"/>
        </w:rPr>
      </w:pPr>
      <w:r w:rsidRPr="00343BE6">
        <w:rPr>
          <w:rFonts w:ascii="Times New Roman" w:hAnsi="Times New Roman" w:cs="Times New Roman"/>
        </w:rPr>
        <w:t>However, this is not the case. These notices are provided for different purposes, to different groups of individuals, triggered under different circumstances at different times, with different content. The below table compares these two notices:</w:t>
      </w:r>
    </w:p>
    <w:p w14:paraId="5B988F1F" w14:textId="77777777" w:rsidR="00690DCF" w:rsidRPr="00343BE6" w:rsidRDefault="00690DCF" w:rsidP="00343BE6">
      <w:pPr>
        <w:pStyle w:val="ListParagraph"/>
        <w:ind w:left="1080"/>
        <w:rPr>
          <w:rFonts w:ascii="Times New Roman" w:hAnsi="Times New Roman" w:cs="Times New Roman"/>
        </w:rPr>
      </w:pPr>
    </w:p>
    <w:p w14:paraId="06B78A28" w14:textId="367C53A0" w:rsidR="00690DCF" w:rsidRPr="00343BE6" w:rsidRDefault="00690DCF" w:rsidP="00343BE6">
      <w:pPr>
        <w:jc w:val="center"/>
        <w:rPr>
          <w:rFonts w:ascii="Times New Roman" w:hAnsi="Times New Roman" w:cs="Times New Roman"/>
          <w:b/>
          <w:bCs/>
        </w:rPr>
      </w:pPr>
      <w:r w:rsidRPr="00343BE6">
        <w:rPr>
          <w:rFonts w:ascii="Times New Roman" w:hAnsi="Times New Roman" w:cs="Times New Roman"/>
          <w:b/>
          <w:bCs/>
        </w:rPr>
        <w:t>Comparison of 2 notices under 2002 Safe Harbor</w:t>
      </w:r>
    </w:p>
    <w:tbl>
      <w:tblPr>
        <w:tblStyle w:val="TableGrid"/>
        <w:tblW w:w="0" w:type="auto"/>
        <w:tblLook w:val="04A0" w:firstRow="1" w:lastRow="0" w:firstColumn="1" w:lastColumn="0" w:noHBand="0" w:noVBand="1"/>
      </w:tblPr>
      <w:tblGrid>
        <w:gridCol w:w="3116"/>
        <w:gridCol w:w="3117"/>
        <w:gridCol w:w="3117"/>
      </w:tblGrid>
      <w:tr w:rsidR="00690DCF" w:rsidRPr="00343BE6" w14:paraId="7AEEF972" w14:textId="77777777" w:rsidTr="0065322D">
        <w:tc>
          <w:tcPr>
            <w:tcW w:w="3116" w:type="dxa"/>
          </w:tcPr>
          <w:p w14:paraId="4A3BD79A" w14:textId="77777777" w:rsidR="00690DCF" w:rsidRPr="00343BE6" w:rsidRDefault="00690DCF" w:rsidP="0065322D">
            <w:pPr>
              <w:rPr>
                <w:rFonts w:ascii="Times New Roman" w:hAnsi="Times New Roman" w:cs="Times New Roman"/>
                <w:b/>
                <w:bCs/>
              </w:rPr>
            </w:pPr>
          </w:p>
        </w:tc>
        <w:tc>
          <w:tcPr>
            <w:tcW w:w="3117" w:type="dxa"/>
          </w:tcPr>
          <w:p w14:paraId="74CB1C30" w14:textId="77777777" w:rsidR="00690DCF" w:rsidRPr="00343BE6" w:rsidRDefault="00690DCF" w:rsidP="0065322D">
            <w:pPr>
              <w:rPr>
                <w:rFonts w:ascii="Times New Roman" w:hAnsi="Times New Roman" w:cs="Times New Roman"/>
                <w:b/>
                <w:bCs/>
              </w:rPr>
            </w:pPr>
            <w:r w:rsidRPr="00343BE6">
              <w:rPr>
                <w:rFonts w:ascii="Times New Roman" w:hAnsi="Times New Roman" w:cs="Times New Roman"/>
                <w:b/>
                <w:bCs/>
              </w:rPr>
              <w:t>“Existing Advance Statement”</w:t>
            </w:r>
          </w:p>
        </w:tc>
        <w:tc>
          <w:tcPr>
            <w:tcW w:w="3117" w:type="dxa"/>
          </w:tcPr>
          <w:p w14:paraId="2F055733" w14:textId="77777777" w:rsidR="00690DCF" w:rsidRPr="00343BE6" w:rsidRDefault="00690DCF" w:rsidP="0065322D">
            <w:pPr>
              <w:rPr>
                <w:rFonts w:ascii="Times New Roman" w:hAnsi="Times New Roman" w:cs="Times New Roman"/>
                <w:b/>
                <w:bCs/>
              </w:rPr>
            </w:pPr>
            <w:r w:rsidRPr="00343BE6">
              <w:rPr>
                <w:rFonts w:ascii="Times New Roman" w:hAnsi="Times New Roman" w:cs="Times New Roman"/>
                <w:b/>
                <w:bCs/>
              </w:rPr>
              <w:t>New initial notice under 338</w:t>
            </w:r>
          </w:p>
        </w:tc>
      </w:tr>
      <w:tr w:rsidR="00690DCF" w:rsidRPr="00343BE6" w14:paraId="53D6733F" w14:textId="77777777" w:rsidTr="0065322D">
        <w:tc>
          <w:tcPr>
            <w:tcW w:w="3116" w:type="dxa"/>
          </w:tcPr>
          <w:p w14:paraId="3CE473EA" w14:textId="77777777" w:rsidR="00690DCF" w:rsidRPr="00343BE6" w:rsidRDefault="00690DCF" w:rsidP="0065322D">
            <w:pPr>
              <w:rPr>
                <w:rFonts w:ascii="Times New Roman" w:hAnsi="Times New Roman" w:cs="Times New Roman"/>
                <w:b/>
                <w:bCs/>
              </w:rPr>
            </w:pPr>
            <w:r w:rsidRPr="00343BE6">
              <w:rPr>
                <w:rFonts w:ascii="Times New Roman" w:hAnsi="Times New Roman" w:cs="Times New Roman"/>
                <w:b/>
                <w:bCs/>
              </w:rPr>
              <w:t>Who gets it</w:t>
            </w:r>
          </w:p>
        </w:tc>
        <w:tc>
          <w:tcPr>
            <w:tcW w:w="3117" w:type="dxa"/>
          </w:tcPr>
          <w:p w14:paraId="233FA842" w14:textId="1DB407CF" w:rsidR="00690DCF" w:rsidRPr="00343BE6" w:rsidRDefault="00690DCF" w:rsidP="0065322D">
            <w:pPr>
              <w:rPr>
                <w:rFonts w:ascii="Times New Roman" w:hAnsi="Times New Roman" w:cs="Times New Roman"/>
              </w:rPr>
            </w:pPr>
            <w:r w:rsidRPr="00343BE6">
              <w:rPr>
                <w:rFonts w:ascii="Times New Roman" w:hAnsi="Times New Roman" w:cs="Times New Roman"/>
                <w:i/>
                <w:iCs/>
              </w:rPr>
              <w:t xml:space="preserve">All current and new individuals who receive paper </w:t>
            </w:r>
            <w:r w:rsidRPr="00343BE6">
              <w:rPr>
                <w:rFonts w:ascii="Times New Roman" w:hAnsi="Times New Roman" w:cs="Times New Roman"/>
              </w:rPr>
              <w:t>disclosures by default (mostly non</w:t>
            </w:r>
            <w:r w:rsidR="006633B4">
              <w:rPr>
                <w:rFonts w:ascii="Times New Roman" w:hAnsi="Times New Roman" w:cs="Times New Roman"/>
              </w:rPr>
              <w:t>-</w:t>
            </w:r>
            <w:r w:rsidRPr="00343BE6">
              <w:rPr>
                <w:rFonts w:ascii="Times New Roman" w:hAnsi="Times New Roman" w:cs="Times New Roman"/>
              </w:rPr>
              <w:t xml:space="preserve">wired) but affirmatively consent to getting them </w:t>
            </w:r>
            <w:r w:rsidRPr="00343BE6">
              <w:rPr>
                <w:rFonts w:ascii="Times New Roman" w:hAnsi="Times New Roman" w:cs="Times New Roman"/>
              </w:rPr>
              <w:lastRenderedPageBreak/>
              <w:t>electronically under the 2d prong of the safe harbor.</w:t>
            </w:r>
            <w:r w:rsidRPr="00343BE6">
              <w:rPr>
                <w:rStyle w:val="FootnoteReference"/>
                <w:rFonts w:ascii="Times New Roman" w:hAnsi="Times New Roman" w:cs="Times New Roman"/>
              </w:rPr>
              <w:footnoteReference w:id="7"/>
            </w:r>
          </w:p>
        </w:tc>
        <w:tc>
          <w:tcPr>
            <w:tcW w:w="3117" w:type="dxa"/>
          </w:tcPr>
          <w:p w14:paraId="5C26B40E" w14:textId="77777777" w:rsidR="00690DCF" w:rsidRPr="00343BE6" w:rsidRDefault="00690DCF" w:rsidP="0065322D">
            <w:pPr>
              <w:rPr>
                <w:rFonts w:ascii="Times New Roman" w:hAnsi="Times New Roman" w:cs="Times New Roman"/>
              </w:rPr>
            </w:pPr>
            <w:r w:rsidRPr="00343BE6">
              <w:rPr>
                <w:rFonts w:ascii="Times New Roman" w:hAnsi="Times New Roman" w:cs="Times New Roman"/>
                <w:i/>
                <w:iCs/>
              </w:rPr>
              <w:lastRenderedPageBreak/>
              <w:t>Only newly eligible</w:t>
            </w:r>
            <w:r w:rsidRPr="00343BE6">
              <w:rPr>
                <w:rFonts w:ascii="Times New Roman" w:hAnsi="Times New Roman" w:cs="Times New Roman"/>
              </w:rPr>
              <w:t xml:space="preserve"> employees, likely mostly wired-at-work, </w:t>
            </w:r>
            <w:r w:rsidRPr="00343BE6">
              <w:rPr>
                <w:rFonts w:ascii="Times New Roman" w:hAnsi="Times New Roman" w:cs="Times New Roman"/>
                <w:i/>
                <w:iCs/>
              </w:rPr>
              <w:t>who receive electronic disclosures</w:t>
            </w:r>
            <w:r w:rsidRPr="00343BE6">
              <w:rPr>
                <w:rFonts w:ascii="Times New Roman" w:hAnsi="Times New Roman" w:cs="Times New Roman"/>
              </w:rPr>
              <w:t xml:space="preserve"> by default.</w:t>
            </w:r>
          </w:p>
        </w:tc>
      </w:tr>
      <w:tr w:rsidR="00690DCF" w:rsidRPr="00343BE6" w14:paraId="24E8A2AB" w14:textId="77777777" w:rsidTr="0065322D">
        <w:tc>
          <w:tcPr>
            <w:tcW w:w="3116" w:type="dxa"/>
          </w:tcPr>
          <w:p w14:paraId="651022E2" w14:textId="77777777" w:rsidR="00690DCF" w:rsidRPr="00343BE6" w:rsidRDefault="00690DCF" w:rsidP="0065322D">
            <w:pPr>
              <w:rPr>
                <w:rFonts w:ascii="Times New Roman" w:hAnsi="Times New Roman" w:cs="Times New Roman"/>
                <w:b/>
                <w:bCs/>
              </w:rPr>
            </w:pPr>
            <w:r w:rsidRPr="00343BE6">
              <w:rPr>
                <w:rFonts w:ascii="Times New Roman" w:hAnsi="Times New Roman" w:cs="Times New Roman"/>
                <w:b/>
                <w:bCs/>
              </w:rPr>
              <w:t>For what purpose</w:t>
            </w:r>
          </w:p>
        </w:tc>
        <w:tc>
          <w:tcPr>
            <w:tcW w:w="3117" w:type="dxa"/>
          </w:tcPr>
          <w:p w14:paraId="371720A1" w14:textId="77777777" w:rsidR="00690DCF" w:rsidRPr="00343BE6" w:rsidRDefault="00690DCF" w:rsidP="0065322D">
            <w:pPr>
              <w:rPr>
                <w:rFonts w:ascii="Times New Roman" w:hAnsi="Times New Roman" w:cs="Times New Roman"/>
              </w:rPr>
            </w:pPr>
            <w:r w:rsidRPr="00343BE6">
              <w:rPr>
                <w:rFonts w:ascii="Times New Roman" w:hAnsi="Times New Roman" w:cs="Times New Roman"/>
              </w:rPr>
              <w:t xml:space="preserve">To ensure these individuals are aware of what they’re getting into and their rights to still ask for paper versions or even withdraw their consent and go back to paper for everything. </w:t>
            </w:r>
          </w:p>
        </w:tc>
        <w:tc>
          <w:tcPr>
            <w:tcW w:w="3117" w:type="dxa"/>
          </w:tcPr>
          <w:p w14:paraId="0D4B82E1" w14:textId="77777777" w:rsidR="00690DCF" w:rsidRPr="00343BE6" w:rsidRDefault="00690DCF" w:rsidP="0065322D">
            <w:pPr>
              <w:rPr>
                <w:rFonts w:ascii="Times New Roman" w:hAnsi="Times New Roman" w:cs="Times New Roman"/>
              </w:rPr>
            </w:pPr>
            <w:r w:rsidRPr="00343BE6">
              <w:rPr>
                <w:rFonts w:ascii="Times New Roman" w:hAnsi="Times New Roman" w:cs="Times New Roman"/>
              </w:rPr>
              <w:t>To ensure this group that’s about to be defaulted into electronic disclosure unless they act to stop it is aware of their right to globally opt out of electronic disclosures and get paper instead.</w:t>
            </w:r>
          </w:p>
        </w:tc>
      </w:tr>
      <w:tr w:rsidR="00690DCF" w:rsidRPr="00343BE6" w14:paraId="65BFB70D" w14:textId="77777777" w:rsidTr="0065322D">
        <w:tc>
          <w:tcPr>
            <w:tcW w:w="3116" w:type="dxa"/>
          </w:tcPr>
          <w:p w14:paraId="0BB5450E" w14:textId="77777777" w:rsidR="00690DCF" w:rsidRPr="00343BE6" w:rsidRDefault="00690DCF" w:rsidP="0065322D">
            <w:pPr>
              <w:rPr>
                <w:rFonts w:ascii="Times New Roman" w:hAnsi="Times New Roman" w:cs="Times New Roman"/>
                <w:b/>
                <w:bCs/>
              </w:rPr>
            </w:pPr>
            <w:r w:rsidRPr="00343BE6">
              <w:rPr>
                <w:rFonts w:ascii="Times New Roman" w:hAnsi="Times New Roman" w:cs="Times New Roman"/>
                <w:b/>
                <w:bCs/>
              </w:rPr>
              <w:t>When</w:t>
            </w:r>
          </w:p>
        </w:tc>
        <w:tc>
          <w:tcPr>
            <w:tcW w:w="3117" w:type="dxa"/>
          </w:tcPr>
          <w:p w14:paraId="4426CFC6" w14:textId="77777777" w:rsidR="00690DCF" w:rsidRPr="00343BE6" w:rsidRDefault="00690DCF" w:rsidP="0065322D">
            <w:pPr>
              <w:rPr>
                <w:rFonts w:ascii="Times New Roman" w:hAnsi="Times New Roman" w:cs="Times New Roman"/>
              </w:rPr>
            </w:pPr>
            <w:r w:rsidRPr="00343BE6">
              <w:rPr>
                <w:rFonts w:ascii="Times New Roman" w:hAnsi="Times New Roman" w:cs="Times New Roman"/>
              </w:rPr>
              <w:t>Only given, if ever, prior to voluntarily consenting to get electronic disclosures.</w:t>
            </w:r>
          </w:p>
        </w:tc>
        <w:tc>
          <w:tcPr>
            <w:tcW w:w="3117" w:type="dxa"/>
          </w:tcPr>
          <w:p w14:paraId="1FFDC6C8" w14:textId="77777777" w:rsidR="00690DCF" w:rsidRPr="00343BE6" w:rsidRDefault="00690DCF" w:rsidP="0065322D">
            <w:pPr>
              <w:rPr>
                <w:rFonts w:ascii="Times New Roman" w:hAnsi="Times New Roman" w:cs="Times New Roman"/>
              </w:rPr>
            </w:pPr>
            <w:r w:rsidRPr="00343BE6">
              <w:rPr>
                <w:rFonts w:ascii="Times New Roman" w:hAnsi="Times New Roman" w:cs="Times New Roman"/>
              </w:rPr>
              <w:t>Prior to getting any disclosures electronically, especially by default; likely included in new-hire paperwork.</w:t>
            </w:r>
          </w:p>
        </w:tc>
      </w:tr>
      <w:tr w:rsidR="00690DCF" w:rsidRPr="00343BE6" w14:paraId="4C898EE3" w14:textId="77777777" w:rsidTr="0065322D">
        <w:tc>
          <w:tcPr>
            <w:tcW w:w="3116" w:type="dxa"/>
          </w:tcPr>
          <w:p w14:paraId="06DE6A1C" w14:textId="77777777" w:rsidR="00690DCF" w:rsidRPr="00343BE6" w:rsidRDefault="00690DCF" w:rsidP="0065322D">
            <w:pPr>
              <w:rPr>
                <w:rFonts w:ascii="Times New Roman" w:hAnsi="Times New Roman" w:cs="Times New Roman"/>
                <w:b/>
                <w:bCs/>
              </w:rPr>
            </w:pPr>
            <w:r w:rsidRPr="00343BE6">
              <w:rPr>
                <w:rFonts w:ascii="Times New Roman" w:hAnsi="Times New Roman" w:cs="Times New Roman"/>
                <w:b/>
                <w:bCs/>
              </w:rPr>
              <w:t>Form of delivery</w:t>
            </w:r>
          </w:p>
        </w:tc>
        <w:tc>
          <w:tcPr>
            <w:tcW w:w="3117" w:type="dxa"/>
          </w:tcPr>
          <w:p w14:paraId="1D99555E" w14:textId="77777777" w:rsidR="00690DCF" w:rsidRPr="00343BE6" w:rsidRDefault="00690DCF" w:rsidP="0065322D">
            <w:pPr>
              <w:rPr>
                <w:rFonts w:ascii="Times New Roman" w:hAnsi="Times New Roman" w:cs="Times New Roman"/>
              </w:rPr>
            </w:pPr>
            <w:r w:rsidRPr="00343BE6">
              <w:rPr>
                <w:rFonts w:ascii="Times New Roman" w:hAnsi="Times New Roman" w:cs="Times New Roman"/>
              </w:rPr>
              <w:t xml:space="preserve">Can be on paper or electronic, but DOL would require a paper version </w:t>
            </w:r>
            <w:proofErr w:type="gramStart"/>
            <w:r w:rsidRPr="00343BE6">
              <w:rPr>
                <w:rFonts w:ascii="Times New Roman" w:hAnsi="Times New Roman" w:cs="Times New Roman"/>
              </w:rPr>
              <w:t>in order to</w:t>
            </w:r>
            <w:proofErr w:type="gramEnd"/>
            <w:r w:rsidRPr="00343BE6">
              <w:rPr>
                <w:rFonts w:ascii="Times New Roman" w:hAnsi="Times New Roman" w:cs="Times New Roman"/>
              </w:rPr>
              <w:t xml:space="preserve"> bypass new initial notice.</w:t>
            </w:r>
          </w:p>
        </w:tc>
        <w:tc>
          <w:tcPr>
            <w:tcW w:w="3117" w:type="dxa"/>
          </w:tcPr>
          <w:p w14:paraId="1E6CBC89" w14:textId="77777777" w:rsidR="00690DCF" w:rsidRPr="00343BE6" w:rsidRDefault="00690DCF" w:rsidP="0065322D">
            <w:pPr>
              <w:rPr>
                <w:rFonts w:ascii="Times New Roman" w:hAnsi="Times New Roman" w:cs="Times New Roman"/>
              </w:rPr>
            </w:pPr>
            <w:r w:rsidRPr="00343BE6">
              <w:rPr>
                <w:rFonts w:ascii="Times New Roman" w:hAnsi="Times New Roman" w:cs="Times New Roman"/>
              </w:rPr>
              <w:t>Must be on paper.</w:t>
            </w:r>
          </w:p>
        </w:tc>
      </w:tr>
      <w:tr w:rsidR="00690DCF" w:rsidRPr="00343BE6" w14:paraId="057BE1C6" w14:textId="77777777" w:rsidTr="0065322D">
        <w:tc>
          <w:tcPr>
            <w:tcW w:w="3116" w:type="dxa"/>
          </w:tcPr>
          <w:p w14:paraId="543B805E" w14:textId="77777777" w:rsidR="00690DCF" w:rsidRPr="00343BE6" w:rsidRDefault="00690DCF" w:rsidP="0065322D">
            <w:pPr>
              <w:rPr>
                <w:rFonts w:ascii="Times New Roman" w:hAnsi="Times New Roman" w:cs="Times New Roman"/>
                <w:b/>
                <w:bCs/>
              </w:rPr>
            </w:pPr>
            <w:r w:rsidRPr="00343BE6">
              <w:rPr>
                <w:rFonts w:ascii="Times New Roman" w:hAnsi="Times New Roman" w:cs="Times New Roman"/>
                <w:b/>
                <w:bCs/>
              </w:rPr>
              <w:t>With what content</w:t>
            </w:r>
          </w:p>
        </w:tc>
        <w:tc>
          <w:tcPr>
            <w:tcW w:w="3117" w:type="dxa"/>
          </w:tcPr>
          <w:p w14:paraId="09B87131" w14:textId="77777777" w:rsidR="00690DCF" w:rsidRPr="00343BE6" w:rsidRDefault="00690DCF" w:rsidP="0065322D">
            <w:pPr>
              <w:rPr>
                <w:rFonts w:ascii="Times New Roman" w:hAnsi="Times New Roman" w:cs="Times New Roman"/>
              </w:rPr>
            </w:pPr>
            <w:r w:rsidRPr="00343BE6">
              <w:rPr>
                <w:rFonts w:ascii="Times New Roman" w:hAnsi="Times New Roman" w:cs="Times New Roman"/>
              </w:rPr>
              <w:t>Notice must be clear and conspicuous, and alert recipients to their right to withdraw consent without charge and how to do so; their right still to ask for a paper copy of a document; the types of documents they’re agreeing to get electronically; the hardware and software needed to access and retain electronic disclosures, and if those specifications change; and other relevant information.</w:t>
            </w:r>
          </w:p>
        </w:tc>
        <w:tc>
          <w:tcPr>
            <w:tcW w:w="3117" w:type="dxa"/>
          </w:tcPr>
          <w:p w14:paraId="03DB0C84" w14:textId="77777777" w:rsidR="00690DCF" w:rsidRPr="00343BE6" w:rsidRDefault="00690DCF" w:rsidP="0065322D">
            <w:pPr>
              <w:rPr>
                <w:rFonts w:ascii="Times New Roman" w:hAnsi="Times New Roman" w:cs="Times New Roman"/>
              </w:rPr>
            </w:pPr>
            <w:r w:rsidRPr="00343BE6">
              <w:rPr>
                <w:rFonts w:ascii="Times New Roman" w:hAnsi="Times New Roman" w:cs="Times New Roman"/>
              </w:rPr>
              <w:t>Only that they have a right to receive all disclosures on paper. No explanation or practical information on how to do it. Needn’t be conspicuous.</w:t>
            </w:r>
          </w:p>
        </w:tc>
      </w:tr>
    </w:tbl>
    <w:p w14:paraId="7C9116C8" w14:textId="77777777" w:rsidR="00690DCF" w:rsidRPr="00343BE6" w:rsidRDefault="00690DCF" w:rsidP="00343BE6">
      <w:pPr>
        <w:pStyle w:val="ListParagraph"/>
        <w:ind w:left="1080"/>
        <w:rPr>
          <w:rFonts w:ascii="Times New Roman" w:hAnsi="Times New Roman" w:cs="Times New Roman"/>
        </w:rPr>
      </w:pPr>
    </w:p>
    <w:p w14:paraId="6523FD27" w14:textId="210B9FE8" w:rsidR="00690DCF" w:rsidRPr="00343BE6" w:rsidRDefault="00690DCF" w:rsidP="00343BE6">
      <w:pPr>
        <w:ind w:firstLine="720"/>
        <w:rPr>
          <w:rFonts w:ascii="Times New Roman" w:hAnsi="Times New Roman" w:cs="Times New Roman"/>
        </w:rPr>
      </w:pPr>
      <w:r w:rsidRPr="00343BE6">
        <w:rPr>
          <w:rFonts w:ascii="Times New Roman" w:hAnsi="Times New Roman" w:cs="Times New Roman"/>
        </w:rPr>
        <w:t xml:space="preserve">PRC believes the “existing advance statement” under 2002 is more protective of consumers than the new initial notice under sec. 338, but that’s not the point here. Unless DOL is proposing to import analogues to </w:t>
      </w:r>
      <w:r w:rsidR="00A5074C" w:rsidRPr="00343BE6">
        <w:rPr>
          <w:rFonts w:ascii="Times New Roman" w:hAnsi="Times New Roman" w:cs="Times New Roman"/>
        </w:rPr>
        <w:t>all</w:t>
      </w:r>
      <w:r w:rsidRPr="00343BE6">
        <w:rPr>
          <w:rFonts w:ascii="Times New Roman" w:hAnsi="Times New Roman" w:cs="Times New Roman"/>
        </w:rPr>
        <w:t xml:space="preserve"> the information and protective requirements of the opt-</w:t>
      </w:r>
      <w:r w:rsidRPr="00343BE6">
        <w:rPr>
          <w:rFonts w:ascii="Times New Roman" w:hAnsi="Times New Roman" w:cs="Times New Roman"/>
          <w:i/>
          <w:iCs/>
        </w:rPr>
        <w:t>in</w:t>
      </w:r>
      <w:r w:rsidRPr="00343BE6">
        <w:rPr>
          <w:rFonts w:ascii="Times New Roman" w:hAnsi="Times New Roman" w:cs="Times New Roman"/>
        </w:rPr>
        <w:t xml:space="preserve"> affirmative consent notice into the new initial opt-</w:t>
      </w:r>
      <w:r w:rsidRPr="00343BE6">
        <w:rPr>
          <w:rFonts w:ascii="Times New Roman" w:hAnsi="Times New Roman" w:cs="Times New Roman"/>
          <w:i/>
          <w:iCs/>
        </w:rPr>
        <w:t>out</w:t>
      </w:r>
      <w:r w:rsidRPr="00343BE6">
        <w:rPr>
          <w:rFonts w:ascii="Times New Roman" w:hAnsi="Times New Roman" w:cs="Times New Roman"/>
        </w:rPr>
        <w:t xml:space="preserve"> notice, these notices are not duplicative. We believe the “coordination” provision is </w:t>
      </w:r>
      <w:r w:rsidR="003D7FF1" w:rsidRPr="00343BE6">
        <w:rPr>
          <w:rFonts w:ascii="Times New Roman" w:hAnsi="Times New Roman" w:cs="Times New Roman"/>
        </w:rPr>
        <w:t>unnecessary and</w:t>
      </w:r>
      <w:r w:rsidRPr="00343BE6">
        <w:rPr>
          <w:rFonts w:ascii="Times New Roman" w:hAnsi="Times New Roman" w:cs="Times New Roman"/>
        </w:rPr>
        <w:t xml:space="preserve"> unduly narrows new workers’ right to the new initial paper global opt-out notice. In the unlikely event that some participants/beneficiaries received both notices at different times under different circumstances (e.g., they received the initial notice, opted for paper, and later changed their minds and asked for </w:t>
      </w:r>
      <w:r w:rsidRPr="00343BE6">
        <w:rPr>
          <w:rFonts w:ascii="Times New Roman" w:hAnsi="Times New Roman" w:cs="Times New Roman"/>
        </w:rPr>
        <w:lastRenderedPageBreak/>
        <w:t xml:space="preserve">electronic) and some of the information was somewhat duplicative, the worst that happens is that more people are aware of their rights to paper, both at the outset of eligibility and later if they elect </w:t>
      </w:r>
      <w:r w:rsidR="00804B57">
        <w:rPr>
          <w:rFonts w:ascii="Times New Roman" w:hAnsi="Times New Roman" w:cs="Times New Roman"/>
        </w:rPr>
        <w:t xml:space="preserve">electronic disclosure. </w:t>
      </w:r>
      <w:r w:rsidRPr="00343BE6">
        <w:rPr>
          <w:rFonts w:ascii="Times New Roman" w:hAnsi="Times New Roman" w:cs="Times New Roman"/>
        </w:rPr>
        <w:t xml:space="preserve">In any case, the provision of the notice triggered by affirmative consent to electronic disclosure should not obviate the requirement for an initial notice of the right to choose paper. </w:t>
      </w:r>
    </w:p>
    <w:p w14:paraId="0350E294" w14:textId="7E25825E" w:rsidR="00FD3E3A" w:rsidRPr="006633B4" w:rsidRDefault="00116FCF" w:rsidP="006633B4">
      <w:pPr>
        <w:ind w:left="360"/>
        <w:rPr>
          <w:rFonts w:ascii="Times New Roman" w:hAnsi="Times New Roman" w:cs="Times New Roman"/>
          <w:u w:val="single"/>
        </w:rPr>
      </w:pPr>
      <w:r>
        <w:rPr>
          <w:rFonts w:ascii="Times New Roman" w:hAnsi="Times New Roman" w:cs="Times New Roman"/>
          <w:u w:val="single"/>
        </w:rPr>
        <w:t>C.</w:t>
      </w:r>
      <w:r>
        <w:rPr>
          <w:rFonts w:ascii="Times New Roman" w:hAnsi="Times New Roman" w:cs="Times New Roman"/>
          <w:u w:val="single"/>
        </w:rPr>
        <w:tab/>
      </w:r>
      <w:r w:rsidR="00B67566" w:rsidRPr="006633B4">
        <w:rPr>
          <w:rFonts w:ascii="Times New Roman" w:hAnsi="Times New Roman" w:cs="Times New Roman"/>
          <w:u w:val="single"/>
        </w:rPr>
        <w:t xml:space="preserve"> </w:t>
      </w:r>
      <w:r w:rsidR="009E237F">
        <w:rPr>
          <w:rFonts w:ascii="Times New Roman" w:hAnsi="Times New Roman" w:cs="Times New Roman"/>
          <w:u w:val="single"/>
        </w:rPr>
        <w:t>Recommendations</w:t>
      </w:r>
      <w:r w:rsidR="005858E1" w:rsidRPr="006633B4">
        <w:rPr>
          <w:rFonts w:ascii="Times New Roman" w:hAnsi="Times New Roman" w:cs="Times New Roman"/>
          <w:u w:val="single"/>
        </w:rPr>
        <w:t xml:space="preserve"> </w:t>
      </w:r>
      <w:r w:rsidR="00FD3E3A" w:rsidRPr="006633B4">
        <w:rPr>
          <w:rFonts w:ascii="Times New Roman" w:hAnsi="Times New Roman" w:cs="Times New Roman"/>
          <w:u w:val="single"/>
        </w:rPr>
        <w:t xml:space="preserve">for Content of Initial Notice Under </w:t>
      </w:r>
      <w:r w:rsidR="007579DB" w:rsidRPr="007579DB">
        <w:rPr>
          <w:rFonts w:ascii="Times New Roman" w:hAnsi="Times New Roman" w:cs="Times New Roman"/>
          <w:u w:val="single"/>
        </w:rPr>
        <w:t>SECURE</w:t>
      </w:r>
      <w:r w:rsidR="00FD3E3A" w:rsidRPr="006633B4">
        <w:rPr>
          <w:rFonts w:ascii="Times New Roman" w:hAnsi="Times New Roman" w:cs="Times New Roman"/>
          <w:u w:val="single"/>
        </w:rPr>
        <w:t xml:space="preserve"> 2.0</w:t>
      </w:r>
    </w:p>
    <w:p w14:paraId="4CBDB42F" w14:textId="0E0B32B8" w:rsidR="00343BE6" w:rsidRPr="00FD3E3A" w:rsidRDefault="00343BE6" w:rsidP="00FD3E3A">
      <w:pPr>
        <w:ind w:firstLine="720"/>
        <w:rPr>
          <w:rFonts w:ascii="Times New Roman" w:hAnsi="Times New Roman" w:cs="Times New Roman"/>
        </w:rPr>
      </w:pPr>
      <w:r w:rsidRPr="00FD3E3A">
        <w:rPr>
          <w:rFonts w:ascii="Times New Roman" w:hAnsi="Times New Roman" w:cs="Times New Roman"/>
        </w:rPr>
        <w:t>There should be more symmetry/uniformity between the initial notice under 2002 and the initial notice under 2020</w:t>
      </w:r>
      <w:r w:rsidR="00B5249C" w:rsidRPr="00FD3E3A">
        <w:rPr>
          <w:rStyle w:val="FootnoteReference"/>
          <w:rFonts w:ascii="Times New Roman" w:hAnsi="Times New Roman" w:cs="Times New Roman"/>
        </w:rPr>
        <w:footnoteReference w:id="8"/>
      </w:r>
      <w:r w:rsidR="00FD3E3A">
        <w:rPr>
          <w:rFonts w:ascii="Times New Roman" w:hAnsi="Times New Roman" w:cs="Times New Roman"/>
        </w:rPr>
        <w:t xml:space="preserve"> than is expressly called for in the statute</w:t>
      </w:r>
      <w:r w:rsidR="00B5249C">
        <w:rPr>
          <w:rFonts w:ascii="Times New Roman" w:hAnsi="Times New Roman" w:cs="Times New Roman"/>
        </w:rPr>
        <w:t>,</w:t>
      </w:r>
      <w:r w:rsidR="00FD3E3A">
        <w:rPr>
          <w:rFonts w:ascii="Times New Roman" w:hAnsi="Times New Roman" w:cs="Times New Roman"/>
        </w:rPr>
        <w:t xml:space="preserve"> and that we believe the Department can suggest in a model statement or require as a condition for the </w:t>
      </w:r>
      <w:r w:rsidR="00355E3E">
        <w:rPr>
          <w:rFonts w:ascii="Times New Roman" w:hAnsi="Times New Roman" w:cs="Times New Roman"/>
        </w:rPr>
        <w:t>20</w:t>
      </w:r>
      <w:r w:rsidR="00B5249C">
        <w:rPr>
          <w:rFonts w:ascii="Times New Roman" w:hAnsi="Times New Roman" w:cs="Times New Roman"/>
        </w:rPr>
        <w:t>02</w:t>
      </w:r>
      <w:r w:rsidR="00355E3E">
        <w:rPr>
          <w:rFonts w:ascii="Times New Roman" w:hAnsi="Times New Roman" w:cs="Times New Roman"/>
        </w:rPr>
        <w:t xml:space="preserve"> </w:t>
      </w:r>
      <w:r w:rsidR="00B5249C">
        <w:rPr>
          <w:rFonts w:ascii="Times New Roman" w:hAnsi="Times New Roman" w:cs="Times New Roman"/>
        </w:rPr>
        <w:t>initial notice</w:t>
      </w:r>
      <w:r w:rsidRPr="00FD3E3A">
        <w:rPr>
          <w:rFonts w:ascii="Times New Roman" w:hAnsi="Times New Roman" w:cs="Times New Roman"/>
        </w:rPr>
        <w:t xml:space="preserve">. Already, both </w:t>
      </w:r>
      <w:r w:rsidR="00FD3E3A">
        <w:rPr>
          <w:rFonts w:ascii="Times New Roman" w:hAnsi="Times New Roman" w:cs="Times New Roman"/>
        </w:rPr>
        <w:t xml:space="preserve">notices </w:t>
      </w:r>
      <w:r w:rsidRPr="00FD3E3A">
        <w:rPr>
          <w:rFonts w:ascii="Times New Roman" w:hAnsi="Times New Roman" w:cs="Times New Roman"/>
        </w:rPr>
        <w:t xml:space="preserve">must be on paper, and both must be provided prior to defaulting individuals into their respective versions of electronic delivery. However, the initial notice under 2020 requires not only notice of the right to globally opt out of ED, </w:t>
      </w:r>
      <w:r w:rsidRPr="00FD3E3A">
        <w:rPr>
          <w:rFonts w:ascii="Times New Roman" w:hAnsi="Times New Roman" w:cs="Times New Roman"/>
          <w:i/>
          <w:iCs/>
        </w:rPr>
        <w:t>free of charge</w:t>
      </w:r>
      <w:r w:rsidRPr="00FD3E3A">
        <w:rPr>
          <w:rFonts w:ascii="Times New Roman" w:hAnsi="Times New Roman" w:cs="Times New Roman"/>
        </w:rPr>
        <w:t xml:space="preserve">, but also an explanation of </w:t>
      </w:r>
      <w:r w:rsidRPr="00FD3E3A">
        <w:rPr>
          <w:rFonts w:ascii="Times New Roman" w:hAnsi="Times New Roman" w:cs="Times New Roman"/>
          <w:i/>
          <w:iCs/>
        </w:rPr>
        <w:t>how to exercise</w:t>
      </w:r>
      <w:r w:rsidRPr="00FD3E3A">
        <w:rPr>
          <w:rFonts w:ascii="Times New Roman" w:hAnsi="Times New Roman" w:cs="Times New Roman"/>
        </w:rPr>
        <w:t xml:space="preserve"> that right. The new initial notice under 2002 1) does not require an explanation of how to exercise the new global opt-out right, 2) nor does it inform consumers that doing so will be free of charge. To improve the new 2002 notice and increase symmetry among initial notices provided prior to utilizing electronic defaults, DOL should amend its new regulatory provision under 104b-1(c)(1)(iv) to add those two pieces of information to the required content. </w:t>
      </w:r>
    </w:p>
    <w:p w14:paraId="24B64D69" w14:textId="6181AA9D" w:rsidR="00343BE6" w:rsidRPr="00FD3E3A" w:rsidRDefault="00343BE6" w:rsidP="00FD3E3A">
      <w:pPr>
        <w:ind w:firstLine="720"/>
        <w:rPr>
          <w:rFonts w:ascii="Times New Roman" w:hAnsi="Times New Roman" w:cs="Times New Roman"/>
        </w:rPr>
      </w:pPr>
      <w:r w:rsidRPr="00FD3E3A">
        <w:rPr>
          <w:rFonts w:ascii="Times New Roman" w:hAnsi="Times New Roman" w:cs="Times New Roman"/>
        </w:rPr>
        <w:t>In addition, PRC urges DOL to add two small</w:t>
      </w:r>
      <w:r w:rsidR="00A5074C">
        <w:rPr>
          <w:rFonts w:ascii="Times New Roman" w:hAnsi="Times New Roman" w:cs="Times New Roman"/>
        </w:rPr>
        <w:t xml:space="preserve"> </w:t>
      </w:r>
      <w:r w:rsidRPr="00FD3E3A">
        <w:rPr>
          <w:rFonts w:ascii="Times New Roman" w:hAnsi="Times New Roman" w:cs="Times New Roman"/>
        </w:rPr>
        <w:t xml:space="preserve">but important pieces of information to both the initial notice under 2002 and the initial notice under 2020. Participants often do not understand retirement benefit rules and rights. Neither of these safe harbors currently requires their initial notices to include contact information and a telephone number to reach that contact to assist individuals in getting their questions answered and make their election. Yet, in the new SECURE 2.0 provisions under the 2020 safe harbor, at sec. 338(b)(2)(B)(ii), the newly required paper benefits statements must include this information to assist participants/beneficiaries to elect notice-and-access delivery instead of paper. If Congress saw fit to include this information in paper benefits statements, it </w:t>
      </w:r>
      <w:r w:rsidR="00FD3E3A">
        <w:rPr>
          <w:rFonts w:ascii="Times New Roman" w:hAnsi="Times New Roman" w:cs="Times New Roman"/>
        </w:rPr>
        <w:t>is sensible</w:t>
      </w:r>
      <w:r w:rsidRPr="00FD3E3A">
        <w:rPr>
          <w:rFonts w:ascii="Times New Roman" w:hAnsi="Times New Roman" w:cs="Times New Roman"/>
        </w:rPr>
        <w:t xml:space="preserve"> to include them in the </w:t>
      </w:r>
      <w:r w:rsidR="004F231F">
        <w:rPr>
          <w:rFonts w:ascii="Times New Roman" w:hAnsi="Times New Roman" w:cs="Times New Roman"/>
        </w:rPr>
        <w:t xml:space="preserve">2002 </w:t>
      </w:r>
      <w:r w:rsidRPr="00FD3E3A">
        <w:rPr>
          <w:rFonts w:ascii="Times New Roman" w:hAnsi="Times New Roman" w:cs="Times New Roman"/>
        </w:rPr>
        <w:t>initial notices as well</w:t>
      </w:r>
      <w:r w:rsidR="00FD3E3A">
        <w:rPr>
          <w:rFonts w:ascii="Times New Roman" w:hAnsi="Times New Roman" w:cs="Times New Roman"/>
        </w:rPr>
        <w:t xml:space="preserve"> and doing so would not impose a burden on plans</w:t>
      </w:r>
      <w:r w:rsidRPr="00FD3E3A">
        <w:rPr>
          <w:rFonts w:ascii="Times New Roman" w:hAnsi="Times New Roman" w:cs="Times New Roman"/>
        </w:rPr>
        <w:t xml:space="preserve">. The final rule on initial notices should add at the end of the sentence “and an explanation of how to do so, and contact information for the plan sponsor, including a telephone number.” </w:t>
      </w:r>
    </w:p>
    <w:p w14:paraId="0DDF600B" w14:textId="1BB05CB1" w:rsidR="00343BE6" w:rsidRDefault="00A5074C" w:rsidP="00FD3E3A">
      <w:pPr>
        <w:ind w:firstLine="720"/>
        <w:rPr>
          <w:rFonts w:ascii="Times New Roman" w:hAnsi="Times New Roman" w:cs="Times New Roman"/>
        </w:rPr>
      </w:pPr>
      <w:r w:rsidRPr="00A5074C">
        <w:rPr>
          <w:rFonts w:ascii="Times New Roman" w:hAnsi="Times New Roman" w:cs="Times New Roman"/>
        </w:rPr>
        <w:t>Finally, PRC</w:t>
      </w:r>
      <w:r w:rsidR="00343BE6" w:rsidRPr="00A5074C">
        <w:rPr>
          <w:rFonts w:ascii="Times New Roman" w:hAnsi="Times New Roman" w:cs="Times New Roman"/>
        </w:rPr>
        <w:t xml:space="preserve"> recommends that DOL consider developing a model initial notice (including the above added information) that plans </w:t>
      </w:r>
      <w:proofErr w:type="gramStart"/>
      <w:r w:rsidR="00343BE6" w:rsidRPr="00A5074C">
        <w:rPr>
          <w:rFonts w:ascii="Times New Roman" w:hAnsi="Times New Roman" w:cs="Times New Roman"/>
        </w:rPr>
        <w:t>operating</w:t>
      </w:r>
      <w:proofErr w:type="gramEnd"/>
      <w:r w:rsidR="00343BE6" w:rsidRPr="00A5074C">
        <w:rPr>
          <w:rFonts w:ascii="Times New Roman" w:hAnsi="Times New Roman" w:cs="Times New Roman"/>
        </w:rPr>
        <w:t xml:space="preserve"> under the 2002 safe harbor can use to comply with the new, one-time paper notice required for newly eligible participants and beneficiaries beginning this year under sec. 338(b)(1). The Department has issued model disclosures many times in past and they have been widely used and praised. The Center would be happy to assist in developing such a model disclosure.</w:t>
      </w:r>
      <w:r w:rsidR="00804B57">
        <w:rPr>
          <w:rFonts w:ascii="Times New Roman" w:hAnsi="Times New Roman" w:cs="Times New Roman"/>
        </w:rPr>
        <w:t xml:space="preserve"> </w:t>
      </w:r>
    </w:p>
    <w:p w14:paraId="752698E9" w14:textId="77777777" w:rsidR="00A5074C" w:rsidRDefault="00A5074C" w:rsidP="00FD3E3A">
      <w:pPr>
        <w:ind w:firstLine="720"/>
        <w:rPr>
          <w:rFonts w:ascii="Times New Roman" w:hAnsi="Times New Roman" w:cs="Times New Roman"/>
        </w:rPr>
      </w:pPr>
    </w:p>
    <w:p w14:paraId="77A349EC" w14:textId="77777777" w:rsidR="00A5074C" w:rsidRDefault="00A5074C" w:rsidP="00FD3E3A">
      <w:pPr>
        <w:ind w:firstLine="720"/>
        <w:rPr>
          <w:rFonts w:ascii="Times New Roman" w:hAnsi="Times New Roman" w:cs="Times New Roman"/>
        </w:rPr>
      </w:pPr>
    </w:p>
    <w:p w14:paraId="02BFAE57" w14:textId="3C9915BF" w:rsidR="008A1CA8" w:rsidRPr="00B67566" w:rsidRDefault="008A1CA8" w:rsidP="00B67566">
      <w:pPr>
        <w:pStyle w:val="ListParagraph"/>
        <w:numPr>
          <w:ilvl w:val="0"/>
          <w:numId w:val="8"/>
        </w:numPr>
        <w:spacing w:line="240" w:lineRule="auto"/>
        <w:rPr>
          <w:rFonts w:ascii="Times New Roman" w:hAnsi="Times New Roman" w:cs="Times New Roman"/>
          <w:b/>
          <w:bCs/>
        </w:rPr>
      </w:pPr>
      <w:r w:rsidRPr="00B67566">
        <w:rPr>
          <w:rFonts w:ascii="Times New Roman" w:hAnsi="Times New Roman" w:cs="Times New Roman"/>
        </w:rPr>
        <w:t xml:space="preserve"> </w:t>
      </w:r>
      <w:r w:rsidRPr="00B67566">
        <w:rPr>
          <w:rFonts w:ascii="Times New Roman" w:hAnsi="Times New Roman" w:cs="Times New Roman"/>
          <w:b/>
          <w:bCs/>
          <w:kern w:val="0"/>
        </w:rPr>
        <w:t>Specific Comments on RIN 1210-AC27 Modifications to 2020 Safe Harbor</w:t>
      </w:r>
    </w:p>
    <w:p w14:paraId="72F89511" w14:textId="77777777" w:rsidR="008A1CA8" w:rsidRPr="008A1CA8" w:rsidRDefault="008A1CA8" w:rsidP="008A1CA8">
      <w:pPr>
        <w:spacing w:after="0" w:line="240" w:lineRule="auto"/>
        <w:ind w:left="360"/>
        <w:rPr>
          <w:rFonts w:ascii="Times New Roman" w:hAnsi="Times New Roman" w:cs="Times New Roman"/>
          <w:kern w:val="0"/>
        </w:rPr>
      </w:pPr>
    </w:p>
    <w:p w14:paraId="40E6CB25" w14:textId="39AA64DB" w:rsidR="008A1CA8" w:rsidRPr="008A1CA8" w:rsidRDefault="008A1CA8" w:rsidP="008A1CA8">
      <w:pPr>
        <w:pStyle w:val="ListParagraph"/>
        <w:numPr>
          <w:ilvl w:val="0"/>
          <w:numId w:val="7"/>
        </w:numPr>
        <w:spacing w:after="0" w:line="240" w:lineRule="auto"/>
        <w:rPr>
          <w:rFonts w:ascii="Times New Roman" w:hAnsi="Times New Roman" w:cs="Times New Roman"/>
        </w:rPr>
      </w:pPr>
      <w:r w:rsidRPr="008A1CA8">
        <w:rPr>
          <w:rFonts w:ascii="Times New Roman" w:hAnsi="Times New Roman" w:cs="Times New Roman"/>
          <w:kern w:val="0"/>
        </w:rPr>
        <w:t xml:space="preserve"> </w:t>
      </w:r>
      <w:r w:rsidR="004F231F">
        <w:rPr>
          <w:rFonts w:ascii="Times New Roman" w:hAnsi="Times New Roman" w:cs="Times New Roman"/>
          <w:kern w:val="0"/>
        </w:rPr>
        <w:t>“</w:t>
      </w:r>
      <w:r w:rsidRPr="008A1CA8">
        <w:rPr>
          <w:rFonts w:ascii="Times New Roman" w:hAnsi="Times New Roman" w:cs="Times New Roman"/>
        </w:rPr>
        <w:t>Directives” Applicable to Documents Required to Be Furnished on Paper</w:t>
      </w:r>
    </w:p>
    <w:p w14:paraId="1DF473FD" w14:textId="77777777" w:rsidR="00A5074C" w:rsidRDefault="00A5074C" w:rsidP="00A5074C">
      <w:pPr>
        <w:ind w:firstLine="720"/>
        <w:rPr>
          <w:rFonts w:ascii="Times New Roman" w:hAnsi="Times New Roman" w:cs="Times New Roman"/>
        </w:rPr>
      </w:pPr>
    </w:p>
    <w:p w14:paraId="321DE0FB" w14:textId="4E57EB8E" w:rsidR="008A1CA8" w:rsidRPr="008A1CA8" w:rsidRDefault="008A1CA8" w:rsidP="00A5074C">
      <w:pPr>
        <w:ind w:firstLine="720"/>
        <w:rPr>
          <w:rFonts w:ascii="Times New Roman" w:hAnsi="Times New Roman" w:cs="Times New Roman"/>
        </w:rPr>
      </w:pPr>
      <w:r w:rsidRPr="008A1CA8">
        <w:rPr>
          <w:rFonts w:ascii="Times New Roman" w:hAnsi="Times New Roman" w:cs="Times New Roman"/>
        </w:rPr>
        <w:t>PRC agrees with the update DOL proposes to 2520.104b-31(c) to exclude the periodic pension benefits statement from the list of “covered documents” plans are permitted to provide using a notice-and-access approach. This, in fact, was the primary motivation for adding sec. 338 to SECURE 2.0 – to ensure that when digital divides, inertia, and busy lives mean that notice-and-access</w:t>
      </w:r>
      <w:r w:rsidRPr="008A1CA8">
        <w:rPr>
          <w:rFonts w:ascii="Times New Roman" w:hAnsi="Times New Roman" w:cs="Times New Roman"/>
          <w:color w:val="231F20"/>
        </w:rPr>
        <w:t xml:space="preserve"> delivers nothing to consumers other than an easily overlooked email notice to go find an online disclosure, consumers will at least receive their mandated pension benefits statements on paper in the mail. </w:t>
      </w:r>
      <w:r w:rsidRPr="008A1CA8">
        <w:rPr>
          <w:rFonts w:ascii="Times New Roman" w:hAnsi="Times New Roman" w:cs="Times New Roman"/>
        </w:rPr>
        <w:t xml:space="preserve">The agency points out that plans utilizing the 2020 safe harbor will continue to be able to use notice-and-access for </w:t>
      </w:r>
      <w:r w:rsidRPr="008A1CA8">
        <w:rPr>
          <w:rFonts w:ascii="Times New Roman" w:hAnsi="Times New Roman" w:cs="Times New Roman"/>
          <w:i/>
          <w:iCs/>
        </w:rPr>
        <w:t>non</w:t>
      </w:r>
      <w:r w:rsidRPr="008A1CA8">
        <w:rPr>
          <w:rFonts w:ascii="Times New Roman" w:hAnsi="Times New Roman" w:cs="Times New Roman"/>
        </w:rPr>
        <w:t xml:space="preserve">mandatory benefits statements, for instance the statements sent for the first three quarters of the year under a self-directed defined contribution plan. However, we agree with DOL’s proposed additions made to subparagraphs 2520.104b-31(f)(1) and to new (l)(3), making clear that plans may not charge </w:t>
      </w:r>
      <w:r w:rsidRPr="008A1CA8">
        <w:rPr>
          <w:rFonts w:ascii="Times New Roman" w:hAnsi="Times New Roman" w:cs="Times New Roman"/>
          <w:i/>
          <w:iCs/>
        </w:rPr>
        <w:t>any</w:t>
      </w:r>
      <w:r w:rsidRPr="008A1CA8">
        <w:rPr>
          <w:rFonts w:ascii="Times New Roman" w:hAnsi="Times New Roman" w:cs="Times New Roman"/>
        </w:rPr>
        <w:t xml:space="preserve"> fees to participants and beneficiaries for </w:t>
      </w:r>
      <w:r w:rsidRPr="008A1CA8">
        <w:rPr>
          <w:rFonts w:ascii="Times New Roman" w:hAnsi="Times New Roman" w:cs="Times New Roman"/>
          <w:i/>
          <w:iCs/>
        </w:rPr>
        <w:t>any</w:t>
      </w:r>
      <w:r w:rsidRPr="008A1CA8">
        <w:rPr>
          <w:rFonts w:ascii="Times New Roman" w:hAnsi="Times New Roman" w:cs="Times New Roman"/>
        </w:rPr>
        <w:t xml:space="preserve"> paper benefits statements, mandated or not, and regardless of whether the plan is still permitted to provide them electronically by default before the consumer requests a paper copy</w:t>
      </w:r>
      <w:r w:rsidR="00F8127E">
        <w:rPr>
          <w:rFonts w:ascii="Times New Roman" w:hAnsi="Times New Roman" w:cs="Times New Roman"/>
        </w:rPr>
        <w:t>.</w:t>
      </w:r>
    </w:p>
    <w:p w14:paraId="3F4CD7EC" w14:textId="2A701C10" w:rsidR="008A1CA8" w:rsidRDefault="008A1CA8" w:rsidP="008A1CA8">
      <w:pPr>
        <w:ind w:firstLine="720"/>
        <w:rPr>
          <w:rFonts w:ascii="Times New Roman" w:hAnsi="Times New Roman" w:cs="Times New Roman"/>
        </w:rPr>
      </w:pPr>
      <w:r w:rsidRPr="008A1CA8">
        <w:rPr>
          <w:rFonts w:ascii="Times New Roman" w:hAnsi="Times New Roman" w:cs="Times New Roman"/>
        </w:rPr>
        <w:t xml:space="preserve">Sec. 338 of SECURE 2.0 also contains a number of </w:t>
      </w:r>
      <w:r w:rsidR="00804B57">
        <w:rPr>
          <w:rFonts w:ascii="Times New Roman" w:hAnsi="Times New Roman" w:cs="Times New Roman"/>
        </w:rPr>
        <w:t xml:space="preserve">other </w:t>
      </w:r>
      <w:r w:rsidRPr="008A1CA8">
        <w:rPr>
          <w:rFonts w:ascii="Times New Roman" w:hAnsi="Times New Roman" w:cs="Times New Roman"/>
        </w:rPr>
        <w:t>“directives” mostly related to any disclosure required to be delivered on paper, such as paper benefits statements. Sec. 338(b)(</w:t>
      </w:r>
      <w:proofErr w:type="gramStart"/>
      <w:r w:rsidRPr="008A1CA8">
        <w:rPr>
          <w:rFonts w:ascii="Times New Roman" w:hAnsi="Times New Roman" w:cs="Times New Roman"/>
        </w:rPr>
        <w:t>2)(</w:t>
      </w:r>
      <w:proofErr w:type="gramEnd"/>
      <w:r w:rsidRPr="008A1CA8">
        <w:rPr>
          <w:rFonts w:ascii="Times New Roman" w:hAnsi="Times New Roman" w:cs="Times New Roman"/>
        </w:rPr>
        <w:t>A and B) states that required paper disclosures must offer the recipient an opportunity to request electronic disclosures instead, and in so doing, must include contact information and a telephone number for the plan sponsor. This is in contrast to the counterpart directive under sec. 338(b)(2)(D), which thankfully provides that every disclosure that is required to be provided electronically must contain an explanation of how to make a global request for all disclosures to be on paper instead, but neglects to require inclusion of contact information and a phone number.</w:t>
      </w:r>
    </w:p>
    <w:p w14:paraId="5A25612E" w14:textId="02A842C2" w:rsidR="008A1CA8" w:rsidRPr="0065322D" w:rsidRDefault="008A1CA8" w:rsidP="008A1CA8">
      <w:pPr>
        <w:pStyle w:val="NormalWeb"/>
        <w:spacing w:before="0" w:beforeAutospacing="0" w:after="0" w:afterAutospacing="0" w:line="278" w:lineRule="auto"/>
        <w:ind w:firstLine="720"/>
      </w:pPr>
      <w:r w:rsidRPr="0065322D">
        <w:t xml:space="preserve">In updating the regulations to reflect the new directives’ requirement for contact information, DOL makes one change with which PRC disagrees. Although SECURE 2.0 specifies that the plan </w:t>
      </w:r>
      <w:r w:rsidRPr="0065322D">
        <w:rPr>
          <w:i/>
          <w:iCs/>
        </w:rPr>
        <w:t>sponsor</w:t>
      </w:r>
      <w:r w:rsidRPr="0065322D">
        <w:t xml:space="preserve"> be the contact in these disclosures, new paragraph (l)(2)(ii) would also allow plans to name the plan sponsor, plan administrator, or other designated representative of the plan as the contact. DOL argues for this deviation from the statutory language on the grounds that these other service providers often play a more direct role in dealing with consumer inquiries, and this provides flexibility to accommodate that. </w:t>
      </w:r>
    </w:p>
    <w:p w14:paraId="670E170C" w14:textId="77777777" w:rsidR="008A1CA8" w:rsidRPr="0065322D" w:rsidRDefault="008A1CA8" w:rsidP="008A1CA8">
      <w:pPr>
        <w:pStyle w:val="NormalWeb"/>
        <w:spacing w:before="0" w:beforeAutospacing="0" w:after="0" w:afterAutospacing="0"/>
      </w:pPr>
    </w:p>
    <w:p w14:paraId="2297126F" w14:textId="77777777" w:rsidR="008A1CA8" w:rsidRDefault="008A1CA8" w:rsidP="008A1CA8">
      <w:pPr>
        <w:ind w:firstLine="720"/>
        <w:rPr>
          <w:rFonts w:ascii="Times New Roman" w:hAnsi="Times New Roman" w:cs="Times New Roman"/>
        </w:rPr>
      </w:pPr>
      <w:r w:rsidRPr="0065322D">
        <w:rPr>
          <w:rFonts w:ascii="Times New Roman" w:hAnsi="Times New Roman" w:cs="Times New Roman"/>
        </w:rPr>
        <w:t xml:space="preserve">We recommend that the Department instead follow the language in SECURE 2.0, and that the contact for participants in these matters be restricted to the plan sponsor. A key reason for </w:t>
      </w:r>
      <w:r w:rsidRPr="0065322D">
        <w:rPr>
          <w:rFonts w:ascii="Times New Roman" w:hAnsi="Times New Roman" w:cs="Times New Roman"/>
        </w:rPr>
        <w:lastRenderedPageBreak/>
        <w:t>ensuring that the name and contact information of the plan sponsor is in important disclosures to consumers relates to record retention. Persons keeping paper benefit statements for their records need the contact information for the party ultimately responsible for their benefit determinations and to prove they were participants in a specific plan. Twenty years down the road, the plan’s choice of recordkeeper may have changed. Additionally, it can be important for the plan sponsor to know the nature of participant inquiries about plan disclosures, even if the Human Resources staff may ultimately direct inquiries to a service provider to handle.</w:t>
      </w:r>
    </w:p>
    <w:p w14:paraId="7D2A15B8" w14:textId="29F15493" w:rsidR="003D7FF1" w:rsidRDefault="003D7FF1" w:rsidP="003D7FF1">
      <w:pPr>
        <w:ind w:firstLine="720"/>
        <w:rPr>
          <w:rFonts w:ascii="Times New Roman" w:hAnsi="Times New Roman" w:cs="Times New Roman"/>
        </w:rPr>
      </w:pPr>
      <w:r w:rsidRPr="003D7FF1">
        <w:rPr>
          <w:rFonts w:ascii="Times New Roman" w:hAnsi="Times New Roman" w:cs="Times New Roman"/>
        </w:rPr>
        <w:t xml:space="preserve">We also wish to comment on the scope of SECURE 2.0’s last directive under the 2020 safe harbor, sec. 338(b)(2)(E), i.e., permitting plans to furnish a “duplicate electronic statement” in cases in which it has already furnished a pension benefits statement on paper. DOL has not proposed any update to the regulations to implement this provision, on the grounds that nothing in the current 2020 safe harbor restricts a plan’s ability to provide a duplicate electronic statement, </w:t>
      </w:r>
      <w:r w:rsidRPr="003D7FF1">
        <w:rPr>
          <w:rFonts w:ascii="Times New Roman" w:hAnsi="Times New Roman" w:cs="Times New Roman"/>
          <w:i/>
          <w:iCs/>
        </w:rPr>
        <w:t>if it so chooses</w:t>
      </w:r>
      <w:r w:rsidRPr="003D7FF1">
        <w:rPr>
          <w:rFonts w:ascii="Times New Roman" w:hAnsi="Times New Roman" w:cs="Times New Roman"/>
        </w:rPr>
        <w:t>, citing the preamble to the 2020 final rule,</w:t>
      </w:r>
      <w:r w:rsidRPr="003D7FF1">
        <w:rPr>
          <w:rStyle w:val="FootnoteReference"/>
          <w:rFonts w:ascii="Times New Roman" w:hAnsi="Times New Roman" w:cs="Times New Roman"/>
        </w:rPr>
        <w:footnoteReference w:id="9"/>
      </w:r>
      <w:r w:rsidRPr="003D7FF1">
        <w:rPr>
          <w:rFonts w:ascii="Times New Roman" w:hAnsi="Times New Roman" w:cs="Times New Roman"/>
        </w:rPr>
        <w:t xml:space="preserve"> which also made continued online access to covered documents </w:t>
      </w:r>
      <w:r w:rsidRPr="003D7FF1">
        <w:rPr>
          <w:rFonts w:ascii="Times New Roman" w:hAnsi="Times New Roman" w:cs="Times New Roman"/>
          <w:i/>
          <w:iCs/>
        </w:rPr>
        <w:t>optional</w:t>
      </w:r>
      <w:r w:rsidRPr="003D7FF1">
        <w:rPr>
          <w:rFonts w:ascii="Times New Roman" w:hAnsi="Times New Roman" w:cs="Times New Roman"/>
        </w:rPr>
        <w:t xml:space="preserve"> for those electing paper. </w:t>
      </w:r>
      <w:r>
        <w:rPr>
          <w:rFonts w:ascii="Times New Roman" w:hAnsi="Times New Roman" w:cs="Times New Roman"/>
        </w:rPr>
        <w:t xml:space="preserve"> </w:t>
      </w:r>
      <w:r w:rsidR="008363D1">
        <w:rPr>
          <w:rFonts w:ascii="Times New Roman" w:hAnsi="Times New Roman" w:cs="Times New Roman"/>
        </w:rPr>
        <w:t xml:space="preserve">Allowing plans to deny access to electronic versions or online accounts for recipients of paper </w:t>
      </w:r>
      <w:r>
        <w:rPr>
          <w:rFonts w:ascii="Times New Roman" w:hAnsi="Times New Roman" w:cs="Times New Roman"/>
        </w:rPr>
        <w:t xml:space="preserve">penalizes participants while doing nothing for the plan </w:t>
      </w:r>
      <w:r w:rsidRPr="006633B4">
        <w:rPr>
          <w:rFonts w:ascii="Times New Roman" w:hAnsi="Times New Roman" w:cs="Times New Roman"/>
          <w:i/>
          <w:iCs/>
        </w:rPr>
        <w:t>other than</w:t>
      </w:r>
      <w:r>
        <w:rPr>
          <w:rFonts w:ascii="Times New Roman" w:hAnsi="Times New Roman" w:cs="Times New Roman"/>
        </w:rPr>
        <w:t xml:space="preserve"> to penalize individuals who elect paper disclosure.</w:t>
      </w:r>
      <w:r w:rsidRPr="003D7FF1">
        <w:rPr>
          <w:rFonts w:ascii="Times New Roman" w:hAnsi="Times New Roman" w:cs="Times New Roman"/>
        </w:rPr>
        <w:t xml:space="preserve"> Whether provision of electronic disclosures is called a “duplicate” statement or not, online versions and access for those requesting paper should be </w:t>
      </w:r>
      <w:r w:rsidRPr="003D7FF1">
        <w:rPr>
          <w:rFonts w:ascii="Times New Roman" w:hAnsi="Times New Roman" w:cs="Times New Roman"/>
          <w:i/>
          <w:iCs/>
        </w:rPr>
        <w:t>required</w:t>
      </w:r>
      <w:r w:rsidRPr="003D7FF1">
        <w:rPr>
          <w:rFonts w:ascii="Times New Roman" w:hAnsi="Times New Roman" w:cs="Times New Roman"/>
        </w:rPr>
        <w:t xml:space="preserve">. </w:t>
      </w:r>
    </w:p>
    <w:p w14:paraId="471547C3" w14:textId="24715B6F" w:rsidR="003D7FF1" w:rsidRDefault="003D7FF1" w:rsidP="003D7FF1">
      <w:pPr>
        <w:ind w:firstLine="720"/>
        <w:rPr>
          <w:rFonts w:ascii="Times New Roman" w:hAnsi="Times New Roman" w:cs="Times New Roman"/>
        </w:rPr>
      </w:pPr>
      <w:r w:rsidRPr="003D7FF1">
        <w:rPr>
          <w:rFonts w:ascii="Times New Roman" w:hAnsi="Times New Roman" w:cs="Times New Roman"/>
        </w:rPr>
        <w:t xml:space="preserve">The Department should </w:t>
      </w:r>
      <w:r>
        <w:rPr>
          <w:rFonts w:ascii="Times New Roman" w:hAnsi="Times New Roman" w:cs="Times New Roman"/>
        </w:rPr>
        <w:t xml:space="preserve">thus </w:t>
      </w:r>
      <w:r w:rsidRPr="003D7FF1">
        <w:rPr>
          <w:rFonts w:ascii="Times New Roman" w:hAnsi="Times New Roman" w:cs="Times New Roman"/>
        </w:rPr>
        <w:t>add a provision to the notice-and-access regulations – and possibly to the 2002 regulations as well –</w:t>
      </w:r>
      <w:r w:rsidR="008363D1">
        <w:rPr>
          <w:rFonts w:ascii="Times New Roman" w:hAnsi="Times New Roman" w:cs="Times New Roman"/>
        </w:rPr>
        <w:t xml:space="preserve"> </w:t>
      </w:r>
      <w:r w:rsidRPr="003D7FF1">
        <w:rPr>
          <w:rFonts w:ascii="Times New Roman" w:hAnsi="Times New Roman" w:cs="Times New Roman"/>
        </w:rPr>
        <w:t>prohibiting plan</w:t>
      </w:r>
      <w:r>
        <w:rPr>
          <w:rFonts w:ascii="Times New Roman" w:hAnsi="Times New Roman" w:cs="Times New Roman"/>
        </w:rPr>
        <w:t>s</w:t>
      </w:r>
      <w:r w:rsidRPr="003D7FF1">
        <w:rPr>
          <w:rFonts w:ascii="Times New Roman" w:hAnsi="Times New Roman" w:cs="Times New Roman"/>
        </w:rPr>
        <w:t xml:space="preserve"> from outright denying electronic access</w:t>
      </w:r>
      <w:r>
        <w:rPr>
          <w:rFonts w:ascii="Times New Roman" w:hAnsi="Times New Roman" w:cs="Times New Roman"/>
        </w:rPr>
        <w:t xml:space="preserve"> to those who elect paper </w:t>
      </w:r>
      <w:r w:rsidR="00A5074C">
        <w:rPr>
          <w:rFonts w:ascii="Times New Roman" w:hAnsi="Times New Roman" w:cs="Times New Roman"/>
        </w:rPr>
        <w:t>delivery or</w:t>
      </w:r>
      <w:r w:rsidRPr="003D7FF1">
        <w:rPr>
          <w:rFonts w:ascii="Times New Roman" w:hAnsi="Times New Roman" w:cs="Times New Roman"/>
        </w:rPr>
        <w:t xml:space="preserve"> requiring or pressuring participants to agree to electronic delivery </w:t>
      </w:r>
      <w:proofErr w:type="gramStart"/>
      <w:r w:rsidRPr="003D7FF1">
        <w:rPr>
          <w:rFonts w:ascii="Times New Roman" w:hAnsi="Times New Roman" w:cs="Times New Roman"/>
        </w:rPr>
        <w:t>in order to</w:t>
      </w:r>
      <w:proofErr w:type="gramEnd"/>
      <w:r w:rsidRPr="003D7FF1">
        <w:rPr>
          <w:rFonts w:ascii="Times New Roman" w:hAnsi="Times New Roman" w:cs="Times New Roman"/>
        </w:rPr>
        <w:t xml:space="preserve"> access its website or documents. Consumers should have access to both paper and electronic disclosures, in line with their preferences to be able to receive both.</w:t>
      </w:r>
    </w:p>
    <w:p w14:paraId="76F6B03D" w14:textId="228B394D" w:rsidR="003D7FF1" w:rsidRPr="00B67566" w:rsidRDefault="003D7FF1" w:rsidP="00B67566">
      <w:pPr>
        <w:pStyle w:val="ListParagraph"/>
        <w:numPr>
          <w:ilvl w:val="0"/>
          <w:numId w:val="8"/>
        </w:numPr>
        <w:rPr>
          <w:rFonts w:ascii="Times New Roman" w:hAnsi="Times New Roman" w:cs="Times New Roman"/>
          <w:b/>
          <w:bCs/>
        </w:rPr>
      </w:pPr>
      <w:r>
        <w:rPr>
          <w:rFonts w:ascii="Times New Roman" w:hAnsi="Times New Roman" w:cs="Times New Roman"/>
        </w:rPr>
        <w:t xml:space="preserve"> </w:t>
      </w:r>
      <w:r w:rsidRPr="003D7FF1">
        <w:rPr>
          <w:rFonts w:ascii="Times New Roman" w:hAnsi="Times New Roman" w:cs="Times New Roman"/>
        </w:rPr>
        <w:t xml:space="preserve"> </w:t>
      </w:r>
      <w:r w:rsidR="00B67566" w:rsidRPr="00B67566">
        <w:rPr>
          <w:rFonts w:ascii="Times New Roman" w:hAnsi="Times New Roman" w:cs="Times New Roman"/>
          <w:b/>
          <w:bCs/>
        </w:rPr>
        <w:t>Reflections on Current Disclosure Regimes</w:t>
      </w:r>
    </w:p>
    <w:p w14:paraId="7FFC624B" w14:textId="77777777" w:rsidR="00B67566" w:rsidRDefault="00B67566" w:rsidP="00B67566">
      <w:pPr>
        <w:pStyle w:val="ListParagraph"/>
        <w:rPr>
          <w:rFonts w:ascii="Times New Roman" w:hAnsi="Times New Roman" w:cs="Times New Roman"/>
        </w:rPr>
      </w:pPr>
    </w:p>
    <w:p w14:paraId="4B470810" w14:textId="50516D6E" w:rsidR="006012E7" w:rsidRDefault="006012E7" w:rsidP="00730A95">
      <w:pPr>
        <w:pStyle w:val="ListParagraph"/>
        <w:ind w:left="0" w:firstLine="720"/>
        <w:rPr>
          <w:rFonts w:ascii="Times New Roman" w:hAnsi="Times New Roman" w:cs="Times New Roman"/>
        </w:rPr>
      </w:pPr>
      <w:r>
        <w:rPr>
          <w:rFonts w:ascii="Times New Roman" w:hAnsi="Times New Roman" w:cs="Times New Roman"/>
        </w:rPr>
        <w:t xml:space="preserve">The ERISA participant disclosure provisions are an essential component of its structure. The ability of plan participants and beneficiaries to understand their plans and their rights and responsibilities under such plans, to be able to know their current accrued benefits and how those benefit may grow in the future, to understand how future events—such as a modification in investment options or the commencement of a black-out period, may alter their retirement planning—are all dependent on required ERISA disclosures.  This means more than the delivery of </w:t>
      </w:r>
      <w:r w:rsidR="00F546EF">
        <w:rPr>
          <w:rFonts w:ascii="Times New Roman" w:hAnsi="Times New Roman" w:cs="Times New Roman"/>
        </w:rPr>
        <w:t xml:space="preserve">a </w:t>
      </w:r>
      <w:r>
        <w:rPr>
          <w:rFonts w:ascii="Times New Roman" w:hAnsi="Times New Roman" w:cs="Times New Roman"/>
        </w:rPr>
        <w:t xml:space="preserve">disclosure—it means a participant </w:t>
      </w:r>
      <w:proofErr w:type="gramStart"/>
      <w:r>
        <w:rPr>
          <w:rFonts w:ascii="Times New Roman" w:hAnsi="Times New Roman" w:cs="Times New Roman"/>
        </w:rPr>
        <w:t>actually opening</w:t>
      </w:r>
      <w:proofErr w:type="gramEnd"/>
      <w:r>
        <w:rPr>
          <w:rFonts w:ascii="Times New Roman" w:hAnsi="Times New Roman" w:cs="Times New Roman"/>
        </w:rPr>
        <w:t xml:space="preserve"> the disclosure and reviewing it in timely fashion. And it also means retaining important documents</w:t>
      </w:r>
      <w:r w:rsidR="00730A95">
        <w:rPr>
          <w:rFonts w:ascii="Times New Roman" w:hAnsi="Times New Roman" w:cs="Times New Roman"/>
        </w:rPr>
        <w:t xml:space="preserve">, particularly in cases in which disputes about eligibility or benefit amounts arise. Thus, effective disclosure under ERISA requires first, </w:t>
      </w:r>
      <w:r w:rsidR="00F546EF" w:rsidRPr="006633B4">
        <w:rPr>
          <w:rFonts w:ascii="Times New Roman" w:hAnsi="Times New Roman" w:cs="Times New Roman"/>
          <w:i/>
          <w:iCs/>
        </w:rPr>
        <w:t xml:space="preserve">actual </w:t>
      </w:r>
      <w:r w:rsidR="00730A95" w:rsidRPr="006633B4">
        <w:rPr>
          <w:rFonts w:ascii="Times New Roman" w:hAnsi="Times New Roman" w:cs="Times New Roman"/>
          <w:i/>
          <w:iCs/>
        </w:rPr>
        <w:t>receipt</w:t>
      </w:r>
      <w:r w:rsidR="00730A95">
        <w:rPr>
          <w:rFonts w:ascii="Times New Roman" w:hAnsi="Times New Roman" w:cs="Times New Roman"/>
        </w:rPr>
        <w:t xml:space="preserve"> of the disclosure, second, contemporaneous review of the contents of the disclosure, and third, retention of the disclosure for possible future use.</w:t>
      </w:r>
    </w:p>
    <w:p w14:paraId="464A61F7" w14:textId="77777777" w:rsidR="00730A95" w:rsidRDefault="00730A95" w:rsidP="00730A95">
      <w:pPr>
        <w:pStyle w:val="ListParagraph"/>
        <w:ind w:left="0" w:firstLine="720"/>
        <w:rPr>
          <w:rFonts w:ascii="Times New Roman" w:hAnsi="Times New Roman" w:cs="Times New Roman"/>
        </w:rPr>
      </w:pPr>
    </w:p>
    <w:p w14:paraId="5D6FD4EF" w14:textId="368DE137" w:rsidR="00730A95" w:rsidRDefault="00730A95" w:rsidP="00730A95">
      <w:pPr>
        <w:pStyle w:val="ListParagraph"/>
        <w:ind w:left="0" w:firstLine="720"/>
        <w:rPr>
          <w:rFonts w:ascii="Times New Roman" w:hAnsi="Times New Roman" w:cs="Times New Roman"/>
        </w:rPr>
      </w:pPr>
      <w:r>
        <w:rPr>
          <w:rFonts w:ascii="Times New Roman" w:hAnsi="Times New Roman" w:cs="Times New Roman"/>
        </w:rPr>
        <w:lastRenderedPageBreak/>
        <w:t xml:space="preserve">Despite recent research that suggests that the second and third requirements of effective disclosure are more likely to occur when the disclosure is delivered in paper form, the great majority of plans today default individuals into electronic disclosure. Moreover, since the creation of the 2020 safe harbor, delivery of the disclosure is dependent on the participant </w:t>
      </w:r>
      <w:r w:rsidR="00F546EF">
        <w:rPr>
          <w:rFonts w:ascii="Times New Roman" w:hAnsi="Times New Roman" w:cs="Times New Roman"/>
        </w:rPr>
        <w:t xml:space="preserve">noticing and </w:t>
      </w:r>
      <w:r>
        <w:rPr>
          <w:rFonts w:ascii="Times New Roman" w:hAnsi="Times New Roman" w:cs="Times New Roman"/>
        </w:rPr>
        <w:t xml:space="preserve">opening an email, then visiting a website, then reviewing the disclosure on the website, and if the disclosure is going to be </w:t>
      </w:r>
      <w:r w:rsidR="00102DC9">
        <w:rPr>
          <w:rFonts w:ascii="Times New Roman" w:hAnsi="Times New Roman" w:cs="Times New Roman"/>
        </w:rPr>
        <w:t>carefully reviewed and retained, printed out. This</w:t>
      </w:r>
      <w:r w:rsidR="00A5074C">
        <w:rPr>
          <w:rFonts w:ascii="Times New Roman" w:hAnsi="Times New Roman" w:cs="Times New Roman"/>
        </w:rPr>
        <w:t xml:space="preserve">, </w:t>
      </w:r>
      <w:r w:rsidR="00102DC9">
        <w:rPr>
          <w:rFonts w:ascii="Times New Roman" w:hAnsi="Times New Roman" w:cs="Times New Roman"/>
        </w:rPr>
        <w:t>of course</w:t>
      </w:r>
      <w:r w:rsidR="00A5074C">
        <w:rPr>
          <w:rFonts w:ascii="Times New Roman" w:hAnsi="Times New Roman" w:cs="Times New Roman"/>
        </w:rPr>
        <w:t xml:space="preserve">, </w:t>
      </w:r>
      <w:r w:rsidR="00102DC9">
        <w:rPr>
          <w:rFonts w:ascii="Times New Roman" w:hAnsi="Times New Roman" w:cs="Times New Roman"/>
        </w:rPr>
        <w:t>makes careful review and retention less likely than if the disclosure were delivered in paper form.</w:t>
      </w:r>
    </w:p>
    <w:p w14:paraId="6C882754" w14:textId="77777777" w:rsidR="00102DC9" w:rsidRDefault="00102DC9" w:rsidP="00F546EF">
      <w:pPr>
        <w:pStyle w:val="ListParagraph"/>
        <w:ind w:left="0" w:firstLine="720"/>
        <w:rPr>
          <w:rFonts w:ascii="Times New Roman" w:hAnsi="Times New Roman" w:cs="Times New Roman"/>
        </w:rPr>
      </w:pPr>
    </w:p>
    <w:p w14:paraId="4D4FE8B0" w14:textId="421FBF3C" w:rsidR="00F8127E" w:rsidRDefault="00102DC9" w:rsidP="00F546EF">
      <w:pPr>
        <w:pStyle w:val="ListParagraph"/>
        <w:ind w:left="0" w:firstLine="720"/>
        <w:rPr>
          <w:rFonts w:ascii="Times New Roman" w:hAnsi="Times New Roman" w:cs="Times New Roman"/>
        </w:rPr>
      </w:pPr>
      <w:r>
        <w:rPr>
          <w:rFonts w:ascii="Times New Roman" w:hAnsi="Times New Roman" w:cs="Times New Roman"/>
        </w:rPr>
        <w:t xml:space="preserve">Defaults, such as a default into electronic disclosure, are understood to impact consumer choice </w:t>
      </w:r>
      <w:r w:rsidR="009A7B66">
        <w:rPr>
          <w:rFonts w:ascii="Times New Roman" w:hAnsi="Times New Roman" w:cs="Times New Roman"/>
        </w:rPr>
        <w:t>in</w:t>
      </w:r>
      <w:r>
        <w:rPr>
          <w:rFonts w:ascii="Times New Roman" w:hAnsi="Times New Roman" w:cs="Times New Roman"/>
        </w:rPr>
        <w:t xml:space="preserve"> favor of the default</w:t>
      </w:r>
      <w:r w:rsidR="00A5074C">
        <w:rPr>
          <w:rFonts w:ascii="Times New Roman" w:hAnsi="Times New Roman" w:cs="Times New Roman"/>
        </w:rPr>
        <w:t>—</w:t>
      </w:r>
      <w:r>
        <w:rPr>
          <w:rFonts w:ascii="Times New Roman" w:hAnsi="Times New Roman" w:cs="Times New Roman"/>
        </w:rPr>
        <w:t xml:space="preserve"> at least</w:t>
      </w:r>
      <w:r w:rsidR="00A5074C">
        <w:rPr>
          <w:rFonts w:ascii="Times New Roman" w:hAnsi="Times New Roman" w:cs="Times New Roman"/>
        </w:rPr>
        <w:t>,</w:t>
      </w:r>
      <w:r>
        <w:rPr>
          <w:rFonts w:ascii="Times New Roman" w:hAnsi="Times New Roman" w:cs="Times New Roman"/>
        </w:rPr>
        <w:t xml:space="preserve"> that is what social scientists have told us. Given the centrality of effective disclosure to ERISA’s purposes, one might conclude that the disclosure default should be the one that will result in more effective disclosure. Yet</w:t>
      </w:r>
      <w:r w:rsidR="00A5074C">
        <w:rPr>
          <w:rFonts w:ascii="Times New Roman" w:hAnsi="Times New Roman" w:cs="Times New Roman"/>
        </w:rPr>
        <w:t>,</w:t>
      </w:r>
      <w:r>
        <w:rPr>
          <w:rFonts w:ascii="Times New Roman" w:hAnsi="Times New Roman" w:cs="Times New Roman"/>
        </w:rPr>
        <w:t xml:space="preserve"> the Department’s two safe harbors default most individuals into </w:t>
      </w:r>
      <w:r w:rsidR="00F8127E">
        <w:rPr>
          <w:rFonts w:ascii="Times New Roman" w:hAnsi="Times New Roman" w:cs="Times New Roman"/>
        </w:rPr>
        <w:t>electronic</w:t>
      </w:r>
      <w:r>
        <w:rPr>
          <w:rFonts w:ascii="Times New Roman" w:hAnsi="Times New Roman" w:cs="Times New Roman"/>
        </w:rPr>
        <w:t xml:space="preserve"> disclosure</w:t>
      </w:r>
      <w:r w:rsidR="00F8127E">
        <w:rPr>
          <w:rFonts w:ascii="Times New Roman" w:hAnsi="Times New Roman" w:cs="Times New Roman"/>
        </w:rPr>
        <w:t xml:space="preserve">, which for many participants will be less effective at </w:t>
      </w:r>
      <w:r w:rsidR="00F546EF">
        <w:rPr>
          <w:rFonts w:ascii="Times New Roman" w:hAnsi="Times New Roman" w:cs="Times New Roman"/>
        </w:rPr>
        <w:t xml:space="preserve">achieving </w:t>
      </w:r>
      <w:r w:rsidR="00F8127E">
        <w:rPr>
          <w:rFonts w:ascii="Times New Roman" w:hAnsi="Times New Roman" w:cs="Times New Roman"/>
        </w:rPr>
        <w:t>ERISA’s disclosure goals than ordinary paper disclosure.</w:t>
      </w:r>
    </w:p>
    <w:p w14:paraId="138C907D" w14:textId="77777777" w:rsidR="00F8127E" w:rsidRDefault="00F8127E" w:rsidP="00F546EF">
      <w:pPr>
        <w:pStyle w:val="ListParagraph"/>
        <w:ind w:left="0" w:firstLine="720"/>
        <w:rPr>
          <w:rFonts w:ascii="Times New Roman" w:hAnsi="Times New Roman" w:cs="Times New Roman"/>
        </w:rPr>
      </w:pPr>
    </w:p>
    <w:p w14:paraId="42A8CDA8" w14:textId="60E840D2" w:rsidR="00F546EF" w:rsidRPr="00AF1F1D" w:rsidRDefault="00F8127E" w:rsidP="00F546EF">
      <w:pPr>
        <w:pStyle w:val="ListParagraph"/>
        <w:ind w:left="0" w:firstLine="720"/>
        <w:rPr>
          <w:rFonts w:ascii="Times New Roman" w:hAnsi="Times New Roman" w:cs="Times New Roman"/>
        </w:rPr>
      </w:pPr>
      <w:r>
        <w:rPr>
          <w:rFonts w:ascii="Times New Roman" w:hAnsi="Times New Roman" w:cs="Times New Roman"/>
        </w:rPr>
        <w:t>We certainly believe that individuals should be free to affirmatively elect electronic disclosure, but we also believe that for most workers the default</w:t>
      </w:r>
      <w:r w:rsidR="00256662">
        <w:rPr>
          <w:rFonts w:ascii="Times New Roman" w:hAnsi="Times New Roman" w:cs="Times New Roman"/>
        </w:rPr>
        <w:t>—if there is a default</w:t>
      </w:r>
      <w:r w:rsidR="00A5074C">
        <w:rPr>
          <w:rFonts w:ascii="Times New Roman" w:hAnsi="Times New Roman" w:cs="Times New Roman"/>
        </w:rPr>
        <w:t>—</w:t>
      </w:r>
      <w:r w:rsidR="00256662">
        <w:rPr>
          <w:rFonts w:ascii="Times New Roman" w:hAnsi="Times New Roman" w:cs="Times New Roman"/>
        </w:rPr>
        <w:t>should</w:t>
      </w:r>
      <w:r>
        <w:rPr>
          <w:rFonts w:ascii="Times New Roman" w:hAnsi="Times New Roman" w:cs="Times New Roman"/>
        </w:rPr>
        <w:t xml:space="preserve"> be paper</w:t>
      </w:r>
      <w:r w:rsidR="00256662">
        <w:rPr>
          <w:rFonts w:ascii="Times New Roman" w:hAnsi="Times New Roman" w:cs="Times New Roman"/>
        </w:rPr>
        <w:t xml:space="preserve"> in most workplaces</w:t>
      </w:r>
      <w:r>
        <w:rPr>
          <w:rFonts w:ascii="Times New Roman" w:hAnsi="Times New Roman" w:cs="Times New Roman"/>
        </w:rPr>
        <w:t xml:space="preserve">. Moreover, </w:t>
      </w:r>
      <w:proofErr w:type="gramStart"/>
      <w:r>
        <w:rPr>
          <w:rFonts w:ascii="Times New Roman" w:hAnsi="Times New Roman" w:cs="Times New Roman"/>
        </w:rPr>
        <w:t>in the area of</w:t>
      </w:r>
      <w:proofErr w:type="gramEnd"/>
      <w:r>
        <w:rPr>
          <w:rFonts w:ascii="Times New Roman" w:hAnsi="Times New Roman" w:cs="Times New Roman"/>
        </w:rPr>
        <w:t xml:space="preserve"> disclosure, a default is not necessary. On entry to the plan, the plan </w:t>
      </w:r>
      <w:r w:rsidR="00F546EF">
        <w:rPr>
          <w:rFonts w:ascii="Times New Roman" w:hAnsi="Times New Roman" w:cs="Times New Roman"/>
        </w:rPr>
        <w:t xml:space="preserve">should </w:t>
      </w:r>
      <w:r>
        <w:rPr>
          <w:rFonts w:ascii="Times New Roman" w:hAnsi="Times New Roman" w:cs="Times New Roman"/>
        </w:rPr>
        <w:t xml:space="preserve">simply require participants to indicate whether they prefer paper or electronic disclosure, respecting the judgement and wishes of each participant without nudging them toward a </w:t>
      </w:r>
      <w:r w:rsidR="00256662">
        <w:rPr>
          <w:rFonts w:ascii="Times New Roman" w:hAnsi="Times New Roman" w:cs="Times New Roman"/>
        </w:rPr>
        <w:t xml:space="preserve">particular </w:t>
      </w:r>
      <w:r>
        <w:rPr>
          <w:rFonts w:ascii="Times New Roman" w:hAnsi="Times New Roman" w:cs="Times New Roman"/>
        </w:rPr>
        <w:t>default.</w:t>
      </w:r>
      <w:r w:rsidR="002326D1">
        <w:rPr>
          <w:rFonts w:ascii="Times New Roman" w:hAnsi="Times New Roman" w:cs="Times New Roman"/>
        </w:rPr>
        <w:t xml:space="preserve">  </w:t>
      </w:r>
    </w:p>
    <w:p w14:paraId="6F3B6EBC" w14:textId="23BA2972" w:rsidR="00262C1B" w:rsidRDefault="00256662">
      <w:pPr>
        <w:pStyle w:val="NormalWeb"/>
        <w:spacing w:before="0" w:beforeAutospacing="0" w:after="160" w:afterAutospacing="0" w:line="278" w:lineRule="auto"/>
        <w:ind w:firstLine="720"/>
      </w:pPr>
      <w:r w:rsidRPr="00F546EF">
        <w:t>In any event, the Center looks forward to the completion of the S</w:t>
      </w:r>
      <w:r w:rsidR="007579DB">
        <w:t>ECURE</w:t>
      </w:r>
      <w:r w:rsidRPr="00F546EF">
        <w:t xml:space="preserve"> 2.0 disclosure study</w:t>
      </w:r>
      <w:r w:rsidR="00D830AF">
        <w:t>.</w:t>
      </w:r>
      <w:r w:rsidR="00A5074C">
        <w:t xml:space="preserve"> We</w:t>
      </w:r>
      <w:r>
        <w:t xml:space="preserve"> hope that disclosure study will focus not only on whether participants have access to the internet, but also on whether electronic or paper disclosure better facilitates participants opening and reviewing the disclosure and retaining it.  We also hope that once that study is completed, </w:t>
      </w:r>
      <w:r w:rsidR="002326D1">
        <w:t xml:space="preserve">the </w:t>
      </w:r>
      <w:r>
        <w:t xml:space="preserve">2002 and 2020 safe harbors can be rethought and perhaps combined into a single set of rules </w:t>
      </w:r>
      <w:r w:rsidR="00970496">
        <w:t xml:space="preserve">to ensure that the greatest number of participants receive, review and retain their disclosures.  </w:t>
      </w:r>
    </w:p>
    <w:p w14:paraId="5F4686AA" w14:textId="33C5D95C" w:rsidR="00262C1B" w:rsidRDefault="00262C1B" w:rsidP="00262C1B">
      <w:pPr>
        <w:pStyle w:val="NormalWeb"/>
        <w:spacing w:before="0" w:beforeAutospacing="0" w:after="160" w:afterAutospacing="0" w:line="278" w:lineRule="auto"/>
      </w:pPr>
      <w:r>
        <w:tab/>
        <w:t>We thank you for the opportunity to submit these comments.</w:t>
      </w:r>
    </w:p>
    <w:p w14:paraId="100D1887" w14:textId="77777777" w:rsidR="00295AE9" w:rsidRPr="009B3A4C" w:rsidRDefault="00295AE9" w:rsidP="006633B4">
      <w:pPr>
        <w:spacing w:after="0" w:line="240" w:lineRule="auto"/>
        <w:rPr>
          <w:rFonts w:ascii="Times New Roman" w:hAnsi="Times New Roman" w:cs="Times New Roman"/>
        </w:rPr>
      </w:pPr>
      <w:r w:rsidRPr="009B3A4C">
        <w:rPr>
          <w:rFonts w:ascii="Times New Roman" w:hAnsi="Times New Roman" w:cs="Times New Roman"/>
        </w:rPr>
        <w:t>Sincerely yours,</w:t>
      </w:r>
    </w:p>
    <w:p w14:paraId="6172BFFE" w14:textId="77777777" w:rsidR="00295AE9" w:rsidRPr="009B3A4C" w:rsidRDefault="00295AE9" w:rsidP="006633B4">
      <w:pPr>
        <w:spacing w:after="0" w:line="240" w:lineRule="auto"/>
        <w:rPr>
          <w:rFonts w:ascii="Times New Roman" w:hAnsi="Times New Roman" w:cs="Times New Roman"/>
        </w:rPr>
      </w:pPr>
    </w:p>
    <w:p w14:paraId="0A3C6205" w14:textId="77777777" w:rsidR="00295AE9" w:rsidRPr="009B3A4C" w:rsidRDefault="00295AE9" w:rsidP="006633B4">
      <w:pPr>
        <w:spacing w:after="0" w:line="240" w:lineRule="auto"/>
        <w:rPr>
          <w:rFonts w:ascii="Times New Roman" w:hAnsi="Times New Roman" w:cs="Times New Roman"/>
        </w:rPr>
      </w:pPr>
    </w:p>
    <w:p w14:paraId="49891F20" w14:textId="7DD870F3" w:rsidR="00295AE9" w:rsidRPr="009B3A4C" w:rsidRDefault="00295AE9" w:rsidP="006633B4">
      <w:pPr>
        <w:spacing w:after="0" w:line="240" w:lineRule="auto"/>
        <w:rPr>
          <w:rFonts w:ascii="Times New Roman" w:hAnsi="Times New Roman" w:cs="Times New Roman"/>
        </w:rPr>
      </w:pPr>
      <w:r>
        <w:rPr>
          <w:rFonts w:ascii="Times New Roman" w:hAnsi="Times New Roman" w:cs="Times New Roman"/>
        </w:rPr>
        <w:t>Karen Friedman</w:t>
      </w:r>
    </w:p>
    <w:p w14:paraId="2C7BE924" w14:textId="15541FA9" w:rsidR="00295AE9" w:rsidRPr="009B3A4C" w:rsidRDefault="00295AE9" w:rsidP="006633B4">
      <w:pPr>
        <w:spacing w:after="0" w:line="240" w:lineRule="auto"/>
        <w:rPr>
          <w:rFonts w:ascii="Times New Roman" w:hAnsi="Times New Roman" w:cs="Times New Roman"/>
        </w:rPr>
      </w:pPr>
      <w:r>
        <w:rPr>
          <w:rFonts w:ascii="Times New Roman" w:hAnsi="Times New Roman" w:cs="Times New Roman"/>
        </w:rPr>
        <w:t>Executive Director</w:t>
      </w:r>
    </w:p>
    <w:p w14:paraId="6200A652" w14:textId="1F75E37C" w:rsidR="00295AE9" w:rsidRPr="009B3A4C" w:rsidRDefault="00295AE9" w:rsidP="006633B4">
      <w:pPr>
        <w:spacing w:after="0" w:line="240" w:lineRule="auto"/>
        <w:rPr>
          <w:rFonts w:ascii="Times New Roman" w:hAnsi="Times New Roman" w:cs="Times New Roman"/>
        </w:rPr>
      </w:pPr>
      <w:r w:rsidRPr="009B3A4C">
        <w:rPr>
          <w:rFonts w:ascii="Times New Roman" w:hAnsi="Times New Roman" w:cs="Times New Roman"/>
        </w:rPr>
        <w:t>Pension Rights Center</w:t>
      </w:r>
    </w:p>
    <w:p w14:paraId="4DF98FC0" w14:textId="77777777" w:rsidR="00295AE9" w:rsidRPr="009B3A4C" w:rsidRDefault="00295AE9" w:rsidP="006633B4">
      <w:pPr>
        <w:spacing w:after="0" w:line="240" w:lineRule="auto"/>
        <w:rPr>
          <w:rFonts w:ascii="Times New Roman" w:hAnsi="Times New Roman" w:cs="Times New Roman"/>
        </w:rPr>
      </w:pPr>
    </w:p>
    <w:p w14:paraId="7A0C8B2B" w14:textId="63CEC25D" w:rsidR="00295AE9" w:rsidRPr="009B3A4C" w:rsidRDefault="00295AE9" w:rsidP="006633B4">
      <w:pPr>
        <w:spacing w:after="0" w:line="240" w:lineRule="auto"/>
        <w:rPr>
          <w:rFonts w:ascii="Times New Roman" w:hAnsi="Times New Roman" w:cs="Times New Roman"/>
        </w:rPr>
      </w:pPr>
      <w:r>
        <w:rPr>
          <w:rFonts w:ascii="Times New Roman" w:hAnsi="Times New Roman" w:cs="Times New Roman"/>
        </w:rPr>
        <w:t>Michele Varnhagen</w:t>
      </w:r>
    </w:p>
    <w:p w14:paraId="4E43E954" w14:textId="646C1B76" w:rsidR="00295AE9" w:rsidRPr="009B3A4C" w:rsidRDefault="00295AE9" w:rsidP="006633B4">
      <w:pPr>
        <w:spacing w:after="0" w:line="240" w:lineRule="auto"/>
        <w:rPr>
          <w:rFonts w:ascii="Times New Roman" w:hAnsi="Times New Roman" w:cs="Times New Roman"/>
        </w:rPr>
      </w:pPr>
      <w:r w:rsidRPr="009B3A4C">
        <w:rPr>
          <w:rFonts w:ascii="Times New Roman" w:hAnsi="Times New Roman" w:cs="Times New Roman"/>
        </w:rPr>
        <w:t xml:space="preserve">Senior Policy </w:t>
      </w:r>
      <w:r>
        <w:rPr>
          <w:rFonts w:ascii="Times New Roman" w:hAnsi="Times New Roman" w:cs="Times New Roman"/>
        </w:rPr>
        <w:t>Advisor</w:t>
      </w:r>
    </w:p>
    <w:p w14:paraId="3CCFAC98" w14:textId="795E649D" w:rsidR="0045272D" w:rsidRPr="004D6C08" w:rsidRDefault="00295AE9" w:rsidP="007579DB">
      <w:pPr>
        <w:spacing w:after="0" w:line="240" w:lineRule="auto"/>
        <w:rPr>
          <w:rFonts w:ascii="Times New Roman" w:hAnsi="Times New Roman" w:cs="Times New Roman"/>
        </w:rPr>
      </w:pPr>
      <w:r w:rsidRPr="009B3A4C">
        <w:rPr>
          <w:rFonts w:ascii="Times New Roman" w:hAnsi="Times New Roman" w:cs="Times New Roman"/>
        </w:rPr>
        <w:t xml:space="preserve">Pension Rights Center </w:t>
      </w:r>
    </w:p>
    <w:sectPr w:rsidR="0045272D" w:rsidRPr="004D6C0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CF4F" w14:textId="77777777" w:rsidR="00013D55" w:rsidRDefault="00013D55" w:rsidP="00F2000D">
      <w:pPr>
        <w:spacing w:after="0" w:line="240" w:lineRule="auto"/>
      </w:pPr>
      <w:r>
        <w:separator/>
      </w:r>
    </w:p>
  </w:endnote>
  <w:endnote w:type="continuationSeparator" w:id="0">
    <w:p w14:paraId="4F5FF8C3" w14:textId="77777777" w:rsidR="00013D55" w:rsidRDefault="00013D55" w:rsidP="00F2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3929268"/>
      <w:docPartObj>
        <w:docPartGallery w:val="Page Numbers (Bottom of Page)"/>
        <w:docPartUnique/>
      </w:docPartObj>
    </w:sdtPr>
    <w:sdtContent>
      <w:p w14:paraId="6571B003" w14:textId="5190D951" w:rsidR="00B67566" w:rsidRDefault="00B67566" w:rsidP="00C515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3B3BCA" w14:textId="77777777" w:rsidR="00B67566" w:rsidRDefault="00B67566" w:rsidP="00B675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8534613"/>
      <w:docPartObj>
        <w:docPartGallery w:val="Page Numbers (Bottom of Page)"/>
        <w:docPartUnique/>
      </w:docPartObj>
    </w:sdtPr>
    <w:sdtContent>
      <w:p w14:paraId="4A4252CE" w14:textId="20D594A8" w:rsidR="00B67566" w:rsidRDefault="00B67566" w:rsidP="00C515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46177EC" w14:textId="77777777" w:rsidR="00B67566" w:rsidRDefault="00B67566" w:rsidP="00B675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DD2A" w14:textId="77777777" w:rsidR="00013D55" w:rsidRDefault="00013D55" w:rsidP="00F2000D">
      <w:pPr>
        <w:spacing w:after="0" w:line="240" w:lineRule="auto"/>
      </w:pPr>
      <w:r>
        <w:separator/>
      </w:r>
    </w:p>
  </w:footnote>
  <w:footnote w:type="continuationSeparator" w:id="0">
    <w:p w14:paraId="667A020A" w14:textId="77777777" w:rsidR="00013D55" w:rsidRDefault="00013D55" w:rsidP="00F2000D">
      <w:pPr>
        <w:spacing w:after="0" w:line="240" w:lineRule="auto"/>
      </w:pPr>
      <w:r>
        <w:continuationSeparator/>
      </w:r>
    </w:p>
  </w:footnote>
  <w:footnote w:id="1">
    <w:p w14:paraId="29FD1DAD" w14:textId="77777777" w:rsidR="005143C7" w:rsidRPr="007579DB" w:rsidRDefault="005143C7" w:rsidP="005143C7">
      <w:pPr>
        <w:pStyle w:val="NormalWeb"/>
        <w:spacing w:before="0" w:beforeAutospacing="0" w:after="0" w:afterAutospacing="0"/>
        <w:rPr>
          <w:color w:val="000000" w:themeColor="text1"/>
          <w:sz w:val="18"/>
          <w:szCs w:val="18"/>
        </w:rPr>
      </w:pPr>
      <w:r w:rsidRPr="007579DB">
        <w:rPr>
          <w:rStyle w:val="FootnoteReference"/>
          <w:sz w:val="18"/>
          <w:szCs w:val="18"/>
        </w:rPr>
        <w:footnoteRef/>
      </w:r>
      <w:r w:rsidRPr="007579DB">
        <w:rPr>
          <w:sz w:val="18"/>
          <w:szCs w:val="18"/>
        </w:rPr>
        <w:t xml:space="preserve">  </w:t>
      </w:r>
      <w:r w:rsidRPr="007579DB">
        <w:rPr>
          <w:color w:val="000000" w:themeColor="text1"/>
          <w:sz w:val="18"/>
          <w:szCs w:val="18"/>
        </w:rPr>
        <w:t xml:space="preserve"> SECURE 2.0 Act of 2022 (SECURE 2.0), enacted December 29, 2022, as Division T of the Consolidated Appropriations Act, 2023, Pub. L. No. 117-328, 136 Stat. 4459 (2022).</w:t>
      </w:r>
    </w:p>
    <w:p w14:paraId="7B1115ED" w14:textId="77777777" w:rsidR="00197FF1" w:rsidRPr="007579DB" w:rsidRDefault="00197FF1" w:rsidP="005143C7">
      <w:pPr>
        <w:pStyle w:val="NormalWeb"/>
        <w:spacing w:before="0" w:beforeAutospacing="0" w:after="0" w:afterAutospacing="0"/>
        <w:rPr>
          <w:color w:val="000000" w:themeColor="text1"/>
          <w:sz w:val="18"/>
          <w:szCs w:val="18"/>
        </w:rPr>
      </w:pPr>
    </w:p>
  </w:footnote>
  <w:footnote w:id="2">
    <w:p w14:paraId="1B9542EE" w14:textId="419D5B17" w:rsidR="00197FF1" w:rsidRDefault="00197FF1">
      <w:pPr>
        <w:pStyle w:val="FootnoteText"/>
      </w:pPr>
      <w:r w:rsidRPr="007579DB">
        <w:rPr>
          <w:rStyle w:val="FootnoteReference"/>
          <w:rFonts w:ascii="Times New Roman" w:hAnsi="Times New Roman" w:cs="Times New Roman"/>
          <w:sz w:val="18"/>
          <w:szCs w:val="18"/>
        </w:rPr>
        <w:footnoteRef/>
      </w:r>
      <w:r w:rsidRPr="007579DB">
        <w:rPr>
          <w:rFonts w:ascii="Times New Roman" w:hAnsi="Times New Roman" w:cs="Times New Roman"/>
          <w:sz w:val="18"/>
          <w:szCs w:val="18"/>
        </w:rPr>
        <w:t xml:space="preserve"> DOL, Requirement to Provide Paper Statements in Certain Cases—Amendments to Electronic Disclosure Safe Harbors, Proposed Rule, 91 Fed. Reg. 9213 Feb. 25, 2026) [hereinafter </w:t>
      </w:r>
      <w:r w:rsidRPr="007579DB">
        <w:rPr>
          <w:rFonts w:ascii="Times New Roman" w:hAnsi="Times New Roman" w:cs="Times New Roman"/>
          <w:i/>
          <w:iCs/>
          <w:sz w:val="18"/>
          <w:szCs w:val="18"/>
        </w:rPr>
        <w:t>Proposed Rule</w:t>
      </w:r>
      <w:r w:rsidRPr="007579DB">
        <w:rPr>
          <w:rFonts w:ascii="Times New Roman" w:hAnsi="Times New Roman" w:cs="Times New Roman"/>
          <w:sz w:val="18"/>
          <w:szCs w:val="18"/>
        </w:rPr>
        <w:t>].</w:t>
      </w:r>
    </w:p>
  </w:footnote>
  <w:footnote w:id="3">
    <w:p w14:paraId="7DCFBE88" w14:textId="1F006708" w:rsidR="00951605" w:rsidRDefault="00951605" w:rsidP="002326D1">
      <w:pPr>
        <w:spacing w:line="240" w:lineRule="auto"/>
      </w:pPr>
      <w:r w:rsidRPr="002326D1">
        <w:rPr>
          <w:rStyle w:val="FootnoteReference"/>
          <w:rFonts w:ascii="Times New Roman" w:hAnsi="Times New Roman" w:cs="Times New Roman"/>
          <w:sz w:val="18"/>
          <w:szCs w:val="18"/>
        </w:rPr>
        <w:footnoteRef/>
      </w:r>
      <w:r w:rsidRPr="002326D1">
        <w:rPr>
          <w:rFonts w:ascii="Times New Roman" w:hAnsi="Times New Roman" w:cs="Times New Roman"/>
          <w:sz w:val="18"/>
          <w:szCs w:val="18"/>
        </w:rPr>
        <w:t xml:space="preserve"> </w:t>
      </w:r>
      <w:r w:rsidR="00C7795C" w:rsidRPr="002326D1">
        <w:rPr>
          <w:rFonts w:ascii="Times New Roman" w:hAnsi="Times New Roman" w:cs="Times New Roman"/>
          <w:i/>
          <w:iCs/>
          <w:sz w:val="18"/>
          <w:szCs w:val="18"/>
        </w:rPr>
        <w:t>See</w:t>
      </w:r>
      <w:r w:rsidR="00C7795C" w:rsidRPr="002326D1">
        <w:rPr>
          <w:rFonts w:ascii="Times New Roman" w:hAnsi="Times New Roman" w:cs="Times New Roman"/>
          <w:sz w:val="18"/>
          <w:szCs w:val="18"/>
        </w:rPr>
        <w:t xml:space="preserve"> </w:t>
      </w:r>
      <w:r w:rsidR="00C7795C" w:rsidRPr="002326D1">
        <w:rPr>
          <w:rFonts w:ascii="Times New Roman" w:hAnsi="Times New Roman" w:cs="Times New Roman"/>
          <w:i/>
          <w:iCs/>
          <w:sz w:val="18"/>
          <w:szCs w:val="18"/>
        </w:rPr>
        <w:t>e.g</w:t>
      </w:r>
      <w:r w:rsidR="00C7795C" w:rsidRPr="002326D1">
        <w:rPr>
          <w:rFonts w:ascii="Times New Roman" w:hAnsi="Times New Roman" w:cs="Times New Roman"/>
          <w:sz w:val="18"/>
          <w:szCs w:val="18"/>
        </w:rPr>
        <w:t xml:space="preserve">., S. Kathi Brown, </w:t>
      </w:r>
      <w:r w:rsidR="00C7795C" w:rsidRPr="002326D1">
        <w:rPr>
          <w:rFonts w:ascii="Times New Roman" w:hAnsi="Times New Roman" w:cs="Times New Roman"/>
          <w:i/>
          <w:iCs/>
          <w:sz w:val="18"/>
          <w:szCs w:val="18"/>
        </w:rPr>
        <w:t>Retirement Account Statements: Paper or Electronic?</w:t>
      </w:r>
      <w:r w:rsidR="00C7795C" w:rsidRPr="002326D1">
        <w:rPr>
          <w:rFonts w:ascii="Times New Roman" w:hAnsi="Times New Roman" w:cs="Times New Roman"/>
          <w:sz w:val="18"/>
          <w:szCs w:val="18"/>
        </w:rPr>
        <w:t xml:space="preserve"> (AARP, </w:t>
      </w:r>
      <w:proofErr w:type="gramStart"/>
      <w:r w:rsidR="00C7795C" w:rsidRPr="002326D1">
        <w:rPr>
          <w:rFonts w:ascii="Times New Roman" w:hAnsi="Times New Roman" w:cs="Times New Roman"/>
          <w:sz w:val="18"/>
          <w:szCs w:val="18"/>
        </w:rPr>
        <w:t>May,</w:t>
      </w:r>
      <w:proofErr w:type="gramEnd"/>
      <w:r w:rsidR="00C7795C" w:rsidRPr="002326D1">
        <w:rPr>
          <w:rFonts w:ascii="Times New Roman" w:hAnsi="Times New Roman" w:cs="Times New Roman"/>
          <w:sz w:val="18"/>
          <w:szCs w:val="18"/>
        </w:rPr>
        <w:t xml:space="preserve"> 2022), </w:t>
      </w:r>
      <w:r w:rsidR="00C7795C" w:rsidRPr="002326D1">
        <w:rPr>
          <w:rFonts w:ascii="Times New Roman" w:hAnsi="Times New Roman" w:cs="Times New Roman"/>
          <w:i/>
          <w:iCs/>
          <w:sz w:val="18"/>
          <w:szCs w:val="18"/>
        </w:rPr>
        <w:t>available at</w:t>
      </w:r>
      <w:r w:rsidR="00C7795C" w:rsidRPr="002326D1">
        <w:rPr>
          <w:rFonts w:ascii="Times New Roman" w:hAnsi="Times New Roman" w:cs="Times New Roman"/>
          <w:sz w:val="18"/>
          <w:szCs w:val="18"/>
        </w:rPr>
        <w:t xml:space="preserve"> https://www.aarp.org/content/dam/aarp/research/surveys_statistics/econ/2022/retirement-accounts-statements-survey-report.doi.10.26419-2Fres.00529.001.pdf</w:t>
      </w:r>
      <w:r w:rsidR="002326D1">
        <w:rPr>
          <w:rFonts w:ascii="Times New Roman" w:hAnsi="Times New Roman" w:cs="Times New Roman"/>
          <w:sz w:val="18"/>
          <w:szCs w:val="18"/>
        </w:rPr>
        <w:t xml:space="preserve">; </w:t>
      </w:r>
      <w:r w:rsidR="00C7795C" w:rsidRPr="002326D1">
        <w:rPr>
          <w:rFonts w:ascii="Times New Roman" w:eastAsia="Times New Roman" w:hAnsi="Times New Roman" w:cs="Times New Roman"/>
          <w:i/>
          <w:iCs/>
          <w:color w:val="000000" w:themeColor="text1"/>
          <w:kern w:val="36"/>
          <w:sz w:val="18"/>
          <w:szCs w:val="18"/>
          <w14:ligatures w14:val="none"/>
        </w:rPr>
        <w:t xml:space="preserve">Paper or Online? Retirement Plan Participants Can’t Decide </w:t>
      </w:r>
      <w:r w:rsidR="00C7795C" w:rsidRPr="002326D1">
        <w:rPr>
          <w:rFonts w:ascii="Times New Roman" w:eastAsia="Times New Roman" w:hAnsi="Times New Roman" w:cs="Times New Roman"/>
          <w:color w:val="000000" w:themeColor="text1"/>
          <w:kern w:val="36"/>
          <w:sz w:val="18"/>
          <w:szCs w:val="18"/>
          <w14:ligatures w14:val="none"/>
        </w:rPr>
        <w:t xml:space="preserve">(LIMRA/LOMA, Jan 21, 2020), </w:t>
      </w:r>
      <w:r w:rsidR="00C7795C" w:rsidRPr="002326D1">
        <w:rPr>
          <w:rFonts w:ascii="Times New Roman" w:eastAsia="Times New Roman" w:hAnsi="Times New Roman" w:cs="Times New Roman"/>
          <w:i/>
          <w:iCs/>
          <w:color w:val="000000" w:themeColor="text1"/>
          <w:kern w:val="36"/>
          <w:sz w:val="18"/>
          <w:szCs w:val="18"/>
          <w14:ligatures w14:val="none"/>
        </w:rPr>
        <w:t>available at</w:t>
      </w:r>
      <w:r w:rsidR="00C7795C" w:rsidRPr="002326D1">
        <w:rPr>
          <w:rFonts w:ascii="Times New Roman" w:eastAsia="Times New Roman" w:hAnsi="Times New Roman" w:cs="Times New Roman"/>
          <w:color w:val="000000" w:themeColor="text1"/>
          <w:kern w:val="36"/>
          <w:sz w:val="18"/>
          <w:szCs w:val="18"/>
          <w14:ligatures w14:val="none"/>
        </w:rPr>
        <w:t xml:space="preserve"> </w:t>
      </w:r>
      <w:r w:rsidR="00C7795C" w:rsidRPr="002326D1">
        <w:rPr>
          <w:rFonts w:ascii="Times New Roman" w:hAnsi="Times New Roman" w:cs="Times New Roman"/>
          <w:sz w:val="18"/>
          <w:szCs w:val="18"/>
        </w:rPr>
        <w:t xml:space="preserve">https://www.loma.org/en/news/industry-trends/2020/paper-or-online-retirement-plan-participants-cant-decide/#:~:text=Turns%20out,%20there%20is%20no,communications%20are%20more%20environmentally%20friendly hereinafter </w:t>
      </w:r>
      <w:r w:rsidR="00C7795C" w:rsidRPr="002326D1">
        <w:rPr>
          <w:rFonts w:ascii="Times New Roman" w:hAnsi="Times New Roman" w:cs="Times New Roman"/>
          <w:i/>
          <w:iCs/>
          <w:sz w:val="18"/>
          <w:szCs w:val="18"/>
        </w:rPr>
        <w:t>LOMA</w:t>
      </w:r>
      <w:r w:rsidR="00C7795C" w:rsidRPr="002326D1">
        <w:rPr>
          <w:rFonts w:ascii="Times New Roman" w:hAnsi="Times New Roman" w:cs="Times New Roman"/>
          <w:sz w:val="18"/>
          <w:szCs w:val="18"/>
        </w:rPr>
        <w:t>].</w:t>
      </w:r>
    </w:p>
  </w:footnote>
  <w:footnote w:id="4">
    <w:p w14:paraId="187FCD65" w14:textId="6248B1FA" w:rsidR="00F113B5" w:rsidRPr="002326D1" w:rsidRDefault="00F113B5" w:rsidP="002326D1">
      <w:pPr>
        <w:spacing w:line="240" w:lineRule="auto"/>
        <w:rPr>
          <w:rFonts w:ascii="Times New Roman" w:hAnsi="Times New Roman" w:cs="Times New Roman"/>
          <w:sz w:val="20"/>
          <w:szCs w:val="20"/>
        </w:rPr>
      </w:pPr>
      <w:r w:rsidRPr="002326D1">
        <w:rPr>
          <w:rStyle w:val="FootnoteReference"/>
          <w:rFonts w:ascii="Times New Roman" w:hAnsi="Times New Roman" w:cs="Times New Roman"/>
          <w:sz w:val="18"/>
          <w:szCs w:val="18"/>
        </w:rPr>
        <w:footnoteRef/>
      </w:r>
      <w:r>
        <w:t xml:space="preserve"> </w:t>
      </w:r>
      <w:r w:rsidR="002326D1" w:rsidRPr="002618C1">
        <w:rPr>
          <w:rFonts w:ascii="Times New Roman" w:hAnsi="Times New Roman" w:cs="Times New Roman"/>
          <w:i/>
          <w:iCs/>
          <w:sz w:val="18"/>
          <w:szCs w:val="18"/>
        </w:rPr>
        <w:t>Id</w:t>
      </w:r>
      <w:r w:rsidR="002326D1" w:rsidRPr="002618C1">
        <w:rPr>
          <w:rFonts w:ascii="Times New Roman" w:hAnsi="Times New Roman" w:cs="Times New Roman"/>
          <w:i/>
          <w:iCs/>
        </w:rPr>
        <w:t>.</w:t>
      </w:r>
    </w:p>
  </w:footnote>
  <w:footnote w:id="5">
    <w:p w14:paraId="0242D6A8" w14:textId="67522817" w:rsidR="00A954CF" w:rsidRDefault="00A954CF" w:rsidP="002326D1">
      <w:pPr>
        <w:pStyle w:val="FootnoteText"/>
        <w:rPr>
          <w:rFonts w:ascii="Times New Roman" w:hAnsi="Times New Roman" w:cs="Times New Roman"/>
          <w:sz w:val="18"/>
          <w:szCs w:val="18"/>
        </w:rPr>
      </w:pPr>
      <w:r>
        <w:rPr>
          <w:rStyle w:val="FootnoteReference"/>
        </w:rPr>
        <w:footnoteRef/>
      </w:r>
      <w:r>
        <w:t xml:space="preserve"> </w:t>
      </w:r>
      <w:r w:rsidR="002326D1">
        <w:rPr>
          <w:rFonts w:ascii="Times New Roman" w:hAnsi="Times New Roman" w:cs="Times New Roman"/>
          <w:sz w:val="18"/>
          <w:szCs w:val="18"/>
        </w:rPr>
        <w:t>Secure 2.0 Act, § 319.</w:t>
      </w:r>
    </w:p>
    <w:p w14:paraId="04A02D9C" w14:textId="77777777" w:rsidR="00197FF1" w:rsidRPr="002326D1" w:rsidRDefault="00197FF1" w:rsidP="002326D1">
      <w:pPr>
        <w:pStyle w:val="FootnoteText"/>
        <w:rPr>
          <w:rFonts w:ascii="Times New Roman" w:hAnsi="Times New Roman" w:cs="Times New Roman"/>
          <w:sz w:val="18"/>
          <w:szCs w:val="18"/>
        </w:rPr>
      </w:pPr>
    </w:p>
  </w:footnote>
  <w:footnote w:id="6">
    <w:p w14:paraId="59BD3133" w14:textId="6D7C010E" w:rsidR="00A954CF" w:rsidRPr="002326D1" w:rsidRDefault="00A954CF" w:rsidP="002326D1">
      <w:pPr>
        <w:pStyle w:val="FootnoteText"/>
        <w:rPr>
          <w:rFonts w:ascii="Times New Roman" w:hAnsi="Times New Roman" w:cs="Times New Roman"/>
          <w:sz w:val="18"/>
          <w:szCs w:val="18"/>
        </w:rPr>
      </w:pPr>
      <w:r w:rsidRPr="002326D1">
        <w:rPr>
          <w:rStyle w:val="FootnoteReference"/>
          <w:rFonts w:ascii="Times New Roman" w:hAnsi="Times New Roman" w:cs="Times New Roman"/>
          <w:sz w:val="18"/>
          <w:szCs w:val="18"/>
        </w:rPr>
        <w:footnoteRef/>
      </w:r>
      <w:r w:rsidRPr="002326D1">
        <w:rPr>
          <w:rFonts w:ascii="Times New Roman" w:hAnsi="Times New Roman" w:cs="Times New Roman"/>
          <w:sz w:val="18"/>
          <w:szCs w:val="18"/>
        </w:rPr>
        <w:t xml:space="preserve"> </w:t>
      </w:r>
      <w:proofErr w:type="gramStart"/>
      <w:r w:rsidR="002326D1" w:rsidRPr="002618C1">
        <w:rPr>
          <w:rFonts w:ascii="Times New Roman" w:hAnsi="Times New Roman" w:cs="Times New Roman"/>
          <w:i/>
          <w:iCs/>
          <w:sz w:val="18"/>
          <w:szCs w:val="18"/>
        </w:rPr>
        <w:t>Id.</w:t>
      </w:r>
      <w:r w:rsidR="00D830AF" w:rsidRPr="002618C1">
        <w:rPr>
          <w:rFonts w:ascii="Times New Roman" w:hAnsi="Times New Roman" w:cs="Times New Roman"/>
          <w:i/>
          <w:iCs/>
          <w:sz w:val="18"/>
          <w:szCs w:val="18"/>
        </w:rPr>
        <w:t>(</w:t>
      </w:r>
      <w:proofErr w:type="gramEnd"/>
      <w:r w:rsidR="00D830AF">
        <w:rPr>
          <w:rFonts w:ascii="Times New Roman" w:hAnsi="Times New Roman" w:cs="Times New Roman"/>
          <w:sz w:val="18"/>
          <w:szCs w:val="18"/>
        </w:rPr>
        <w:t>emphasis supplied)</w:t>
      </w:r>
    </w:p>
  </w:footnote>
  <w:footnote w:id="7">
    <w:p w14:paraId="75936A4B" w14:textId="27EE8CC0" w:rsidR="00690DCF" w:rsidRPr="007579DB" w:rsidRDefault="00690DCF" w:rsidP="00690DCF">
      <w:pPr>
        <w:pStyle w:val="FootnoteText"/>
        <w:rPr>
          <w:rFonts w:ascii="Times New Roman" w:hAnsi="Times New Roman" w:cs="Times New Roman"/>
          <w:sz w:val="18"/>
          <w:szCs w:val="18"/>
        </w:rPr>
      </w:pPr>
      <w:r w:rsidRPr="007579DB">
        <w:rPr>
          <w:rStyle w:val="FootnoteReference"/>
          <w:rFonts w:ascii="Times New Roman" w:hAnsi="Times New Roman" w:cs="Times New Roman"/>
          <w:sz w:val="18"/>
          <w:szCs w:val="18"/>
        </w:rPr>
        <w:footnoteRef/>
      </w:r>
      <w:r w:rsidRPr="007579DB">
        <w:rPr>
          <w:rFonts w:ascii="Times New Roman" w:hAnsi="Times New Roman" w:cs="Times New Roman"/>
          <w:sz w:val="18"/>
          <w:szCs w:val="18"/>
        </w:rPr>
        <w:t xml:space="preserve"> DOL concedes this, </w:t>
      </w:r>
      <w:r w:rsidRPr="007579DB">
        <w:rPr>
          <w:rFonts w:ascii="Times New Roman" w:hAnsi="Times New Roman" w:cs="Times New Roman"/>
          <w:i/>
          <w:iCs/>
          <w:sz w:val="18"/>
          <w:szCs w:val="18"/>
        </w:rPr>
        <w:t>Proposed Rule</w:t>
      </w:r>
      <w:r w:rsidRPr="007579DB">
        <w:rPr>
          <w:rFonts w:ascii="Times New Roman" w:hAnsi="Times New Roman" w:cs="Times New Roman"/>
          <w:sz w:val="18"/>
          <w:szCs w:val="18"/>
        </w:rPr>
        <w:t xml:space="preserve">, </w:t>
      </w:r>
      <w:r w:rsidRPr="007579DB">
        <w:rPr>
          <w:rFonts w:ascii="Times New Roman" w:hAnsi="Times New Roman" w:cs="Times New Roman"/>
          <w:i/>
          <w:iCs/>
          <w:sz w:val="18"/>
          <w:szCs w:val="18"/>
        </w:rPr>
        <w:t>supra</w:t>
      </w:r>
      <w:r w:rsidRPr="007579DB">
        <w:rPr>
          <w:rFonts w:ascii="Times New Roman" w:hAnsi="Times New Roman" w:cs="Times New Roman"/>
          <w:sz w:val="18"/>
          <w:szCs w:val="18"/>
        </w:rPr>
        <w:t xml:space="preserve"> n. </w:t>
      </w:r>
      <w:r w:rsidR="002618C1">
        <w:rPr>
          <w:rFonts w:ascii="Times New Roman" w:hAnsi="Times New Roman" w:cs="Times New Roman"/>
          <w:sz w:val="18"/>
          <w:szCs w:val="18"/>
        </w:rPr>
        <w:t>2</w:t>
      </w:r>
      <w:r w:rsidRPr="007579DB">
        <w:rPr>
          <w:rFonts w:ascii="Times New Roman" w:hAnsi="Times New Roman" w:cs="Times New Roman"/>
          <w:sz w:val="18"/>
          <w:szCs w:val="18"/>
        </w:rPr>
        <w:t>, at 9215.</w:t>
      </w:r>
    </w:p>
  </w:footnote>
  <w:footnote w:id="8">
    <w:p w14:paraId="3340B1EB" w14:textId="77777777" w:rsidR="00B5249C" w:rsidRPr="007579DB" w:rsidRDefault="00B5249C" w:rsidP="00B5249C">
      <w:pPr>
        <w:pStyle w:val="FootnoteText"/>
        <w:rPr>
          <w:rFonts w:ascii="Times New Roman" w:hAnsi="Times New Roman" w:cs="Times New Roman"/>
          <w:sz w:val="18"/>
          <w:szCs w:val="18"/>
        </w:rPr>
      </w:pPr>
      <w:r w:rsidRPr="007579DB">
        <w:rPr>
          <w:rStyle w:val="FootnoteReference"/>
          <w:rFonts w:ascii="Times New Roman" w:hAnsi="Times New Roman" w:cs="Times New Roman"/>
          <w:sz w:val="18"/>
          <w:szCs w:val="18"/>
        </w:rPr>
        <w:footnoteRef/>
      </w:r>
      <w:r w:rsidRPr="007579DB">
        <w:rPr>
          <w:rFonts w:ascii="Times New Roman" w:hAnsi="Times New Roman" w:cs="Times New Roman"/>
          <w:sz w:val="18"/>
          <w:szCs w:val="18"/>
        </w:rPr>
        <w:t xml:space="preserve"> </w:t>
      </w:r>
      <w:r w:rsidRPr="007579DB">
        <w:rPr>
          <w:rFonts w:ascii="Times New Roman" w:hAnsi="Times New Roman" w:cs="Times New Roman"/>
          <w:i/>
          <w:iCs/>
          <w:sz w:val="18"/>
          <w:szCs w:val="18"/>
        </w:rPr>
        <w:t>See</w:t>
      </w:r>
      <w:r w:rsidRPr="007579DB">
        <w:rPr>
          <w:rFonts w:ascii="Times New Roman" w:hAnsi="Times New Roman" w:cs="Times New Roman"/>
          <w:sz w:val="18"/>
          <w:szCs w:val="18"/>
        </w:rPr>
        <w:t xml:space="preserve"> 29 C.F.R. 2520.104b-31(g).</w:t>
      </w:r>
    </w:p>
  </w:footnote>
  <w:footnote w:id="9">
    <w:p w14:paraId="529023B6" w14:textId="11450FE3" w:rsidR="003D7FF1" w:rsidRPr="007579DB" w:rsidRDefault="003D7FF1" w:rsidP="003D7FF1">
      <w:pPr>
        <w:pStyle w:val="FootnoteText"/>
        <w:rPr>
          <w:rFonts w:ascii="Times New Roman" w:hAnsi="Times New Roman" w:cs="Times New Roman"/>
          <w:sz w:val="18"/>
          <w:szCs w:val="18"/>
        </w:rPr>
      </w:pPr>
      <w:r w:rsidRPr="007579DB">
        <w:rPr>
          <w:rStyle w:val="FootnoteReference"/>
          <w:rFonts w:ascii="Times New Roman" w:hAnsi="Times New Roman" w:cs="Times New Roman"/>
          <w:sz w:val="18"/>
          <w:szCs w:val="18"/>
        </w:rPr>
        <w:footnoteRef/>
      </w:r>
      <w:r w:rsidRPr="007579DB">
        <w:rPr>
          <w:rFonts w:ascii="Times New Roman" w:hAnsi="Times New Roman" w:cs="Times New Roman"/>
          <w:sz w:val="18"/>
          <w:szCs w:val="18"/>
        </w:rPr>
        <w:t xml:space="preserve"> Discussion accompanying n. 10 in </w:t>
      </w:r>
      <w:r w:rsidRPr="007579DB">
        <w:rPr>
          <w:rFonts w:ascii="Times New Roman" w:hAnsi="Times New Roman" w:cs="Times New Roman"/>
          <w:i/>
          <w:iCs/>
          <w:sz w:val="18"/>
          <w:szCs w:val="18"/>
        </w:rPr>
        <w:t>Proposed Rule</w:t>
      </w:r>
      <w:r w:rsidRPr="007579DB">
        <w:rPr>
          <w:rFonts w:ascii="Times New Roman" w:hAnsi="Times New Roman" w:cs="Times New Roman"/>
          <w:sz w:val="18"/>
          <w:szCs w:val="18"/>
        </w:rPr>
        <w:t xml:space="preserve">, </w:t>
      </w:r>
      <w:r w:rsidRPr="007579DB">
        <w:rPr>
          <w:rFonts w:ascii="Times New Roman" w:hAnsi="Times New Roman" w:cs="Times New Roman"/>
          <w:i/>
          <w:iCs/>
          <w:sz w:val="18"/>
          <w:szCs w:val="18"/>
        </w:rPr>
        <w:t>s</w:t>
      </w:r>
      <w:r w:rsidR="008363D1" w:rsidRPr="007579DB">
        <w:rPr>
          <w:rFonts w:ascii="Times New Roman" w:hAnsi="Times New Roman" w:cs="Times New Roman"/>
          <w:i/>
          <w:iCs/>
          <w:sz w:val="18"/>
          <w:szCs w:val="18"/>
        </w:rPr>
        <w:t>upra</w:t>
      </w:r>
      <w:r w:rsidRPr="007579DB">
        <w:rPr>
          <w:rFonts w:ascii="Times New Roman" w:hAnsi="Times New Roman" w:cs="Times New Roman"/>
          <w:sz w:val="18"/>
          <w:szCs w:val="18"/>
        </w:rPr>
        <w:t xml:space="preserve"> n. </w:t>
      </w:r>
      <w:r w:rsidR="002618C1">
        <w:rPr>
          <w:rFonts w:ascii="Times New Roman" w:hAnsi="Times New Roman" w:cs="Times New Roman"/>
          <w:sz w:val="18"/>
          <w:szCs w:val="18"/>
        </w:rPr>
        <w:t>2</w:t>
      </w:r>
      <w:r w:rsidRPr="007579DB">
        <w:rPr>
          <w:rFonts w:ascii="Times New Roman" w:hAnsi="Times New Roman" w:cs="Times New Roman"/>
          <w:sz w:val="18"/>
          <w:szCs w:val="18"/>
        </w:rPr>
        <w:t>, at p. 9217.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36F"/>
    <w:multiLevelType w:val="hybridMultilevel"/>
    <w:tmpl w:val="517436D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1743A"/>
    <w:multiLevelType w:val="hybridMultilevel"/>
    <w:tmpl w:val="312E3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87175"/>
    <w:multiLevelType w:val="hybridMultilevel"/>
    <w:tmpl w:val="726AABDE"/>
    <w:lvl w:ilvl="0" w:tplc="15D639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4509E"/>
    <w:multiLevelType w:val="hybridMultilevel"/>
    <w:tmpl w:val="6EB0F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64629"/>
    <w:multiLevelType w:val="hybridMultilevel"/>
    <w:tmpl w:val="83EC77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76B5A"/>
    <w:multiLevelType w:val="hybridMultilevel"/>
    <w:tmpl w:val="822437AA"/>
    <w:lvl w:ilvl="0" w:tplc="490A7D40">
      <w:start w:val="1"/>
      <w:numFmt w:val="upp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570E1C"/>
    <w:multiLevelType w:val="hybridMultilevel"/>
    <w:tmpl w:val="D4FA374E"/>
    <w:lvl w:ilvl="0" w:tplc="7BBEC2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AF292E"/>
    <w:multiLevelType w:val="hybridMultilevel"/>
    <w:tmpl w:val="8A402C9C"/>
    <w:lvl w:ilvl="0" w:tplc="62B8936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021563"/>
    <w:multiLevelType w:val="hybridMultilevel"/>
    <w:tmpl w:val="76F04CE4"/>
    <w:lvl w:ilvl="0" w:tplc="603E8C6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123251">
    <w:abstractNumId w:val="1"/>
  </w:num>
  <w:num w:numId="2" w16cid:durableId="301278020">
    <w:abstractNumId w:val="5"/>
  </w:num>
  <w:num w:numId="3" w16cid:durableId="267782701">
    <w:abstractNumId w:val="2"/>
  </w:num>
  <w:num w:numId="4" w16cid:durableId="1647315499">
    <w:abstractNumId w:val="6"/>
  </w:num>
  <w:num w:numId="5" w16cid:durableId="605235071">
    <w:abstractNumId w:val="8"/>
  </w:num>
  <w:num w:numId="6" w16cid:durableId="364907731">
    <w:abstractNumId w:val="3"/>
  </w:num>
  <w:num w:numId="7" w16cid:durableId="1638489341">
    <w:abstractNumId w:val="7"/>
  </w:num>
  <w:num w:numId="8" w16cid:durableId="1571109673">
    <w:abstractNumId w:val="4"/>
  </w:num>
  <w:num w:numId="9" w16cid:durableId="191878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08"/>
    <w:rsid w:val="00013D55"/>
    <w:rsid w:val="00071151"/>
    <w:rsid w:val="00097308"/>
    <w:rsid w:val="000B5B09"/>
    <w:rsid w:val="000C1FF0"/>
    <w:rsid w:val="000D6CCC"/>
    <w:rsid w:val="000E1579"/>
    <w:rsid w:val="000E6FE0"/>
    <w:rsid w:val="00102DC9"/>
    <w:rsid w:val="00115BE2"/>
    <w:rsid w:val="00116FCF"/>
    <w:rsid w:val="001267CB"/>
    <w:rsid w:val="00135BDA"/>
    <w:rsid w:val="00152907"/>
    <w:rsid w:val="00197FF1"/>
    <w:rsid w:val="001A0240"/>
    <w:rsid w:val="001E609D"/>
    <w:rsid w:val="001F65B5"/>
    <w:rsid w:val="0022523D"/>
    <w:rsid w:val="002326D1"/>
    <w:rsid w:val="00247607"/>
    <w:rsid w:val="00247982"/>
    <w:rsid w:val="00256662"/>
    <w:rsid w:val="002618C1"/>
    <w:rsid w:val="00262C1B"/>
    <w:rsid w:val="00276236"/>
    <w:rsid w:val="0028331B"/>
    <w:rsid w:val="00295AE9"/>
    <w:rsid w:val="002B40D0"/>
    <w:rsid w:val="002B570A"/>
    <w:rsid w:val="002D29FD"/>
    <w:rsid w:val="002D7DC6"/>
    <w:rsid w:val="00301CF3"/>
    <w:rsid w:val="003048F5"/>
    <w:rsid w:val="00343BE6"/>
    <w:rsid w:val="00355E3E"/>
    <w:rsid w:val="00363104"/>
    <w:rsid w:val="00365102"/>
    <w:rsid w:val="003B4C66"/>
    <w:rsid w:val="003C3AA0"/>
    <w:rsid w:val="003D7FF1"/>
    <w:rsid w:val="00400680"/>
    <w:rsid w:val="004350B3"/>
    <w:rsid w:val="00441521"/>
    <w:rsid w:val="00451054"/>
    <w:rsid w:val="0045272D"/>
    <w:rsid w:val="00453467"/>
    <w:rsid w:val="004877DB"/>
    <w:rsid w:val="0049282C"/>
    <w:rsid w:val="0049636A"/>
    <w:rsid w:val="004D6C08"/>
    <w:rsid w:val="004F231F"/>
    <w:rsid w:val="005143C7"/>
    <w:rsid w:val="005652B0"/>
    <w:rsid w:val="005807E8"/>
    <w:rsid w:val="005858E1"/>
    <w:rsid w:val="005951B2"/>
    <w:rsid w:val="005D6BE6"/>
    <w:rsid w:val="005F2071"/>
    <w:rsid w:val="006012E7"/>
    <w:rsid w:val="00613F16"/>
    <w:rsid w:val="00652021"/>
    <w:rsid w:val="006633B4"/>
    <w:rsid w:val="00690DCF"/>
    <w:rsid w:val="006D7966"/>
    <w:rsid w:val="00730A95"/>
    <w:rsid w:val="0073664A"/>
    <w:rsid w:val="00754BD5"/>
    <w:rsid w:val="007579DB"/>
    <w:rsid w:val="00786097"/>
    <w:rsid w:val="007D2097"/>
    <w:rsid w:val="00804B57"/>
    <w:rsid w:val="00810C2D"/>
    <w:rsid w:val="008363D1"/>
    <w:rsid w:val="00851D94"/>
    <w:rsid w:val="008A1CA8"/>
    <w:rsid w:val="008F03AF"/>
    <w:rsid w:val="00902048"/>
    <w:rsid w:val="0092680D"/>
    <w:rsid w:val="00951605"/>
    <w:rsid w:val="009669EF"/>
    <w:rsid w:val="00970496"/>
    <w:rsid w:val="00992211"/>
    <w:rsid w:val="009A7B66"/>
    <w:rsid w:val="009C5EBD"/>
    <w:rsid w:val="009E237F"/>
    <w:rsid w:val="00A5074C"/>
    <w:rsid w:val="00A954CF"/>
    <w:rsid w:val="00AF1F1D"/>
    <w:rsid w:val="00B14548"/>
    <w:rsid w:val="00B308F8"/>
    <w:rsid w:val="00B3450D"/>
    <w:rsid w:val="00B345FE"/>
    <w:rsid w:val="00B5249C"/>
    <w:rsid w:val="00B657D2"/>
    <w:rsid w:val="00B67566"/>
    <w:rsid w:val="00B748C0"/>
    <w:rsid w:val="00BC3E01"/>
    <w:rsid w:val="00C7795C"/>
    <w:rsid w:val="00C8190F"/>
    <w:rsid w:val="00CE4405"/>
    <w:rsid w:val="00CF5C78"/>
    <w:rsid w:val="00CF6E53"/>
    <w:rsid w:val="00D24931"/>
    <w:rsid w:val="00D25BE5"/>
    <w:rsid w:val="00D40A72"/>
    <w:rsid w:val="00D42ECB"/>
    <w:rsid w:val="00D71BD3"/>
    <w:rsid w:val="00D830AF"/>
    <w:rsid w:val="00D93E84"/>
    <w:rsid w:val="00DB55C9"/>
    <w:rsid w:val="00E4426F"/>
    <w:rsid w:val="00E71605"/>
    <w:rsid w:val="00EC474B"/>
    <w:rsid w:val="00EC63A9"/>
    <w:rsid w:val="00ED3645"/>
    <w:rsid w:val="00F113B5"/>
    <w:rsid w:val="00F2000D"/>
    <w:rsid w:val="00F53C30"/>
    <w:rsid w:val="00F546EF"/>
    <w:rsid w:val="00F57F71"/>
    <w:rsid w:val="00F8127E"/>
    <w:rsid w:val="00FD3E3A"/>
    <w:rsid w:val="00FE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101D"/>
  <w15:chartTrackingRefBased/>
  <w15:docId w15:val="{9FAD3A93-BE58-D549-A79D-C0BDF6CA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6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6C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6C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6C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6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C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6C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6C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6C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6C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6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C08"/>
    <w:rPr>
      <w:rFonts w:eastAsiaTheme="majorEastAsia" w:cstheme="majorBidi"/>
      <w:color w:val="272727" w:themeColor="text1" w:themeTint="D8"/>
    </w:rPr>
  </w:style>
  <w:style w:type="paragraph" w:styleId="Title">
    <w:name w:val="Title"/>
    <w:basedOn w:val="Normal"/>
    <w:next w:val="Normal"/>
    <w:link w:val="TitleChar"/>
    <w:uiPriority w:val="10"/>
    <w:qFormat/>
    <w:rsid w:val="004D6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C08"/>
    <w:pPr>
      <w:spacing w:before="160"/>
      <w:jc w:val="center"/>
    </w:pPr>
    <w:rPr>
      <w:i/>
      <w:iCs/>
      <w:color w:val="404040" w:themeColor="text1" w:themeTint="BF"/>
    </w:rPr>
  </w:style>
  <w:style w:type="character" w:customStyle="1" w:styleId="QuoteChar">
    <w:name w:val="Quote Char"/>
    <w:basedOn w:val="DefaultParagraphFont"/>
    <w:link w:val="Quote"/>
    <w:uiPriority w:val="29"/>
    <w:rsid w:val="004D6C08"/>
    <w:rPr>
      <w:i/>
      <w:iCs/>
      <w:color w:val="404040" w:themeColor="text1" w:themeTint="BF"/>
    </w:rPr>
  </w:style>
  <w:style w:type="paragraph" w:styleId="ListParagraph">
    <w:name w:val="List Paragraph"/>
    <w:basedOn w:val="Normal"/>
    <w:uiPriority w:val="34"/>
    <w:qFormat/>
    <w:rsid w:val="004D6C08"/>
    <w:pPr>
      <w:ind w:left="720"/>
      <w:contextualSpacing/>
    </w:pPr>
  </w:style>
  <w:style w:type="character" w:styleId="IntenseEmphasis">
    <w:name w:val="Intense Emphasis"/>
    <w:basedOn w:val="DefaultParagraphFont"/>
    <w:uiPriority w:val="21"/>
    <w:qFormat/>
    <w:rsid w:val="004D6C08"/>
    <w:rPr>
      <w:i/>
      <w:iCs/>
      <w:color w:val="2F5496" w:themeColor="accent1" w:themeShade="BF"/>
    </w:rPr>
  </w:style>
  <w:style w:type="paragraph" w:styleId="IntenseQuote">
    <w:name w:val="Intense Quote"/>
    <w:basedOn w:val="Normal"/>
    <w:next w:val="Normal"/>
    <w:link w:val="IntenseQuoteChar"/>
    <w:uiPriority w:val="30"/>
    <w:qFormat/>
    <w:rsid w:val="004D6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6C08"/>
    <w:rPr>
      <w:i/>
      <w:iCs/>
      <w:color w:val="2F5496" w:themeColor="accent1" w:themeShade="BF"/>
    </w:rPr>
  </w:style>
  <w:style w:type="character" w:styleId="IntenseReference">
    <w:name w:val="Intense Reference"/>
    <w:basedOn w:val="DefaultParagraphFont"/>
    <w:uiPriority w:val="32"/>
    <w:qFormat/>
    <w:rsid w:val="004D6C08"/>
    <w:rPr>
      <w:b/>
      <w:bCs/>
      <w:smallCaps/>
      <w:color w:val="2F5496" w:themeColor="accent1" w:themeShade="BF"/>
      <w:spacing w:val="5"/>
    </w:rPr>
  </w:style>
  <w:style w:type="paragraph" w:styleId="NormalWeb">
    <w:name w:val="Normal (Web)"/>
    <w:basedOn w:val="Normal"/>
    <w:uiPriority w:val="99"/>
    <w:unhideWhenUsed/>
    <w:rsid w:val="00F200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otnoteReference">
    <w:name w:val="footnote reference"/>
    <w:basedOn w:val="DefaultParagraphFont"/>
    <w:uiPriority w:val="99"/>
    <w:unhideWhenUsed/>
    <w:rsid w:val="00F2000D"/>
    <w:rPr>
      <w:vertAlign w:val="superscript"/>
    </w:rPr>
  </w:style>
  <w:style w:type="paragraph" w:styleId="FootnoteText">
    <w:name w:val="footnote text"/>
    <w:basedOn w:val="Normal"/>
    <w:link w:val="FootnoteTextChar"/>
    <w:uiPriority w:val="99"/>
    <w:unhideWhenUsed/>
    <w:rsid w:val="00951605"/>
    <w:pPr>
      <w:spacing w:after="0" w:line="240" w:lineRule="auto"/>
    </w:pPr>
    <w:rPr>
      <w:sz w:val="20"/>
      <w:szCs w:val="20"/>
    </w:rPr>
  </w:style>
  <w:style w:type="character" w:customStyle="1" w:styleId="FootnoteTextChar">
    <w:name w:val="Footnote Text Char"/>
    <w:basedOn w:val="DefaultParagraphFont"/>
    <w:link w:val="FootnoteText"/>
    <w:uiPriority w:val="99"/>
    <w:rsid w:val="00951605"/>
    <w:rPr>
      <w:sz w:val="20"/>
      <w:szCs w:val="20"/>
    </w:rPr>
  </w:style>
  <w:style w:type="character" w:styleId="Emphasis">
    <w:name w:val="Emphasis"/>
    <w:basedOn w:val="DefaultParagraphFont"/>
    <w:uiPriority w:val="20"/>
    <w:qFormat/>
    <w:rsid w:val="000C1FF0"/>
    <w:rPr>
      <w:i/>
      <w:iCs/>
    </w:rPr>
  </w:style>
  <w:style w:type="table" w:styleId="TableGrid">
    <w:name w:val="Table Grid"/>
    <w:basedOn w:val="TableNormal"/>
    <w:uiPriority w:val="39"/>
    <w:rsid w:val="0069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566"/>
  </w:style>
  <w:style w:type="character" w:styleId="PageNumber">
    <w:name w:val="page number"/>
    <w:basedOn w:val="DefaultParagraphFont"/>
    <w:uiPriority w:val="99"/>
    <w:semiHidden/>
    <w:unhideWhenUsed/>
    <w:rsid w:val="00B67566"/>
  </w:style>
  <w:style w:type="character" w:styleId="Hyperlink">
    <w:name w:val="Hyperlink"/>
    <w:basedOn w:val="DefaultParagraphFont"/>
    <w:uiPriority w:val="99"/>
    <w:unhideWhenUsed/>
    <w:rsid w:val="00C7795C"/>
    <w:rPr>
      <w:color w:val="0563C1" w:themeColor="hyperlink"/>
      <w:u w:val="single"/>
    </w:rPr>
  </w:style>
  <w:style w:type="paragraph" w:styleId="Revision">
    <w:name w:val="Revision"/>
    <w:hidden/>
    <w:uiPriority w:val="99"/>
    <w:semiHidden/>
    <w:rsid w:val="00197FF1"/>
    <w:pPr>
      <w:spacing w:after="0" w:line="240" w:lineRule="auto"/>
    </w:pPr>
  </w:style>
  <w:style w:type="character" w:styleId="CommentReference">
    <w:name w:val="annotation reference"/>
    <w:basedOn w:val="DefaultParagraphFont"/>
    <w:uiPriority w:val="99"/>
    <w:semiHidden/>
    <w:unhideWhenUsed/>
    <w:rsid w:val="00451054"/>
    <w:rPr>
      <w:sz w:val="16"/>
      <w:szCs w:val="16"/>
    </w:rPr>
  </w:style>
  <w:style w:type="paragraph" w:styleId="CommentText">
    <w:name w:val="annotation text"/>
    <w:basedOn w:val="Normal"/>
    <w:link w:val="CommentTextChar"/>
    <w:uiPriority w:val="99"/>
    <w:semiHidden/>
    <w:unhideWhenUsed/>
    <w:rsid w:val="00451054"/>
    <w:pPr>
      <w:spacing w:line="240" w:lineRule="auto"/>
    </w:pPr>
    <w:rPr>
      <w:sz w:val="20"/>
      <w:szCs w:val="20"/>
    </w:rPr>
  </w:style>
  <w:style w:type="character" w:customStyle="1" w:styleId="CommentTextChar">
    <w:name w:val="Comment Text Char"/>
    <w:basedOn w:val="DefaultParagraphFont"/>
    <w:link w:val="CommentText"/>
    <w:uiPriority w:val="99"/>
    <w:semiHidden/>
    <w:rsid w:val="00451054"/>
    <w:rPr>
      <w:sz w:val="20"/>
      <w:szCs w:val="20"/>
    </w:rPr>
  </w:style>
  <w:style w:type="paragraph" w:styleId="CommentSubject">
    <w:name w:val="annotation subject"/>
    <w:basedOn w:val="CommentText"/>
    <w:next w:val="CommentText"/>
    <w:link w:val="CommentSubjectChar"/>
    <w:uiPriority w:val="99"/>
    <w:semiHidden/>
    <w:unhideWhenUsed/>
    <w:rsid w:val="00451054"/>
    <w:rPr>
      <w:b/>
      <w:bCs/>
    </w:rPr>
  </w:style>
  <w:style w:type="character" w:customStyle="1" w:styleId="CommentSubjectChar">
    <w:name w:val="Comment Subject Char"/>
    <w:basedOn w:val="CommentTextChar"/>
    <w:link w:val="CommentSubject"/>
    <w:uiPriority w:val="99"/>
    <w:semiHidden/>
    <w:rsid w:val="004510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6736">
      <w:bodyDiv w:val="1"/>
      <w:marLeft w:val="0"/>
      <w:marRight w:val="0"/>
      <w:marTop w:val="0"/>
      <w:marBottom w:val="0"/>
      <w:divBdr>
        <w:top w:val="none" w:sz="0" w:space="0" w:color="auto"/>
        <w:left w:val="none" w:sz="0" w:space="0" w:color="auto"/>
        <w:bottom w:val="none" w:sz="0" w:space="0" w:color="auto"/>
        <w:right w:val="none" w:sz="0" w:space="0" w:color="auto"/>
      </w:divBdr>
      <w:divsChild>
        <w:div w:id="846482638">
          <w:marLeft w:val="0"/>
          <w:marRight w:val="0"/>
          <w:marTop w:val="0"/>
          <w:marBottom w:val="0"/>
          <w:divBdr>
            <w:top w:val="none" w:sz="0" w:space="0" w:color="auto"/>
            <w:left w:val="none" w:sz="0" w:space="0" w:color="auto"/>
            <w:bottom w:val="none" w:sz="0" w:space="0" w:color="auto"/>
            <w:right w:val="none" w:sz="0" w:space="0" w:color="auto"/>
          </w:divBdr>
          <w:divsChild>
            <w:div w:id="1928222968">
              <w:marLeft w:val="0"/>
              <w:marRight w:val="0"/>
              <w:marTop w:val="0"/>
              <w:marBottom w:val="0"/>
              <w:divBdr>
                <w:top w:val="none" w:sz="0" w:space="0" w:color="auto"/>
                <w:left w:val="none" w:sz="0" w:space="0" w:color="auto"/>
                <w:bottom w:val="none" w:sz="0" w:space="0" w:color="auto"/>
                <w:right w:val="none" w:sz="0" w:space="0" w:color="auto"/>
              </w:divBdr>
              <w:divsChild>
                <w:div w:id="15871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79563">
      <w:bodyDiv w:val="1"/>
      <w:marLeft w:val="0"/>
      <w:marRight w:val="0"/>
      <w:marTop w:val="0"/>
      <w:marBottom w:val="0"/>
      <w:divBdr>
        <w:top w:val="none" w:sz="0" w:space="0" w:color="auto"/>
        <w:left w:val="none" w:sz="0" w:space="0" w:color="auto"/>
        <w:bottom w:val="none" w:sz="0" w:space="0" w:color="auto"/>
        <w:right w:val="none" w:sz="0" w:space="0" w:color="auto"/>
      </w:divBdr>
      <w:divsChild>
        <w:div w:id="859585532">
          <w:marLeft w:val="0"/>
          <w:marRight w:val="0"/>
          <w:marTop w:val="0"/>
          <w:marBottom w:val="0"/>
          <w:divBdr>
            <w:top w:val="none" w:sz="0" w:space="0" w:color="auto"/>
            <w:left w:val="none" w:sz="0" w:space="0" w:color="auto"/>
            <w:bottom w:val="none" w:sz="0" w:space="0" w:color="auto"/>
            <w:right w:val="none" w:sz="0" w:space="0" w:color="auto"/>
          </w:divBdr>
          <w:divsChild>
            <w:div w:id="1170829081">
              <w:marLeft w:val="0"/>
              <w:marRight w:val="0"/>
              <w:marTop w:val="0"/>
              <w:marBottom w:val="0"/>
              <w:divBdr>
                <w:top w:val="none" w:sz="0" w:space="0" w:color="auto"/>
                <w:left w:val="none" w:sz="0" w:space="0" w:color="auto"/>
                <w:bottom w:val="none" w:sz="0" w:space="0" w:color="auto"/>
                <w:right w:val="none" w:sz="0" w:space="0" w:color="auto"/>
              </w:divBdr>
              <w:divsChild>
                <w:div w:id="3099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65466543788B4BA384084BE2960828" ma:contentTypeVersion="12" ma:contentTypeDescription="Create a new document." ma:contentTypeScope="" ma:versionID="7860144e8758c9a89710d7313a1ea78c">
  <xsd:schema xmlns:xsd="http://www.w3.org/2001/XMLSchema" xmlns:xs="http://www.w3.org/2001/XMLSchema" xmlns:p="http://schemas.microsoft.com/office/2006/metadata/properties" xmlns:ns3="f9b1684a-a7b4-4cfa-8b57-34c23230df1b" targetNamespace="http://schemas.microsoft.com/office/2006/metadata/properties" ma:root="true" ma:fieldsID="dbaba748866905e458035682350d05f2" ns3:_="">
    <xsd:import namespace="f9b1684a-a7b4-4cfa-8b57-34c23230df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1684a-a7b4-4cfa-8b57-34c23230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b1684a-a7b4-4cfa-8b57-34c23230df1b" xsi:nil="true"/>
  </documentManagement>
</p:properties>
</file>

<file path=customXml/itemProps1.xml><?xml version="1.0" encoding="utf-8"?>
<ds:datastoreItem xmlns:ds="http://schemas.openxmlformats.org/officeDocument/2006/customXml" ds:itemID="{AD564ED5-BFC3-44B2-9E76-45F1D06BC8D9}">
  <ds:schemaRefs>
    <ds:schemaRef ds:uri="http://schemas.microsoft.com/sharepoint/v3/contenttype/forms"/>
  </ds:schemaRefs>
</ds:datastoreItem>
</file>

<file path=customXml/itemProps2.xml><?xml version="1.0" encoding="utf-8"?>
<ds:datastoreItem xmlns:ds="http://schemas.openxmlformats.org/officeDocument/2006/customXml" ds:itemID="{0428D1B9-6017-4582-9F21-623FD1FDE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1684a-a7b4-4cfa-8b57-34c23230d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8715C-614C-4166-99FA-25E2BC2D85E5}">
  <ds:schemaRefs>
    <ds:schemaRef ds:uri="http://schemas.microsoft.com/office/2006/metadata/properties"/>
    <ds:schemaRef ds:uri="http://schemas.microsoft.com/office/infopath/2007/PartnerControls"/>
    <ds:schemaRef ds:uri="f9b1684a-a7b4-4cfa-8b57-34c23230df1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3719</Words>
  <Characters>20458</Characters>
  <Application>Microsoft Office Word</Application>
  <DocSecurity>0</DocSecurity>
  <Lines>365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Stein,Norman</dc:creator>
  <cp:keywords/>
  <dc:description/>
  <cp:lastModifiedBy>Kate Pixley, Pension Rights Center</cp:lastModifiedBy>
  <cp:revision>2</cp:revision>
  <cp:lastPrinted>2026-04-27T23:40:00Z</cp:lastPrinted>
  <dcterms:created xsi:type="dcterms:W3CDTF">2026-04-28T01:33:00Z</dcterms:created>
  <dcterms:modified xsi:type="dcterms:W3CDTF">2026-04-28T01:33:00Z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0x0101002C65466543788B4BA384084BE2960828</vt:lpwstr>
  </property>
</Properties>
</file>